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20"/>
        <w:jc w:val="center"/>
      </w:pPr>
      <w:r>
        <w:rPr>
          <w:rFonts w:ascii="David" w:cs="David" w:eastAsia="David" w:hAnsi="David"/>
          <w:b/>
          <w:bCs/>
          <w:sz w:val="34"/>
          <w:szCs w:val="34"/>
          <w:rtl/>
        </w:rPr>
        <w:t xml:space="preserve">תנאי שימוש, מדיניות פרטיות, מדיניות אספקה ומדיניות מנויים וביטולים</w:t>
      </w:r>
    </w:p>
    <w:p>
      <w:pPr>
        <w:bidi/>
        <w:spacing w:after="100"/>
        <w:jc w:val="center"/>
      </w:pPr>
      <w:r>
        <w:rPr>
          <w:rFonts w:ascii="David" w:cs="David" w:eastAsia="David" w:hAnsi="David"/>
          <w:b/>
          <w:bCs/>
          <w:sz w:val="24"/>
          <w:szCs w:val="24"/>
          <w:rtl/>
        </w:rPr>
        <w:t xml:space="preserve">הבינותי בע"מ ותוכנת "אקטיב הד"</w:t>
      </w:r>
    </w:p>
    <w:p>
      <w:pPr>
        <w:bidi/>
        <w:spacing w:after="100"/>
        <w:jc w:val="center"/>
      </w:pPr>
      <w:r>
        <w:rPr>
          <w:rFonts w:ascii="David" w:cs="David" w:eastAsia="David" w:hAnsi="David"/>
          <w:b/>
          <w:bCs/>
          <w:sz w:val="24"/>
          <w:szCs w:val="24"/>
          <w:rtl/>
        </w:rPr>
        <w:t xml:space="preserve">עודכן לאחרונה: יולי 2026</w:t>
      </w:r>
    </w:p>
    <w:p>
      <w:pPr>
        <w:bidi/>
        <w:spacing w:after="100"/>
        <w:jc w:val="center"/>
      </w:pPr>
      <w:r>
        <w:rPr>
          <w:rFonts w:ascii="David" w:cs="David" w:eastAsia="David" w:hAnsi="David"/>
          <w:b/>
          <w:bCs/>
          <w:sz w:val="24"/>
          <w:szCs w:val="24"/>
          <w:rtl/>
        </w:rPr>
        <w:t xml:space="preserve">הקדמה</w:t>
      </w:r>
    </w:p>
    <w:p>
      <w:pPr>
        <w:bidi/>
        <w:spacing w:after="140" w:line="300"/>
        <w:jc w:val="right"/>
      </w:pPr>
      <w:r>
        <w:rPr>
          <w:rFonts w:ascii="David" w:cs="David" w:eastAsia="David" w:hAnsi="David"/>
          <w:sz w:val="22"/>
          <w:szCs w:val="22"/>
          <w:rtl/>
        </w:rPr>
        <w:t xml:space="preserve">מסמך זה ("</w:t>
      </w:r>
      <w:r>
        <w:rPr>
          <w:rFonts w:ascii="David" w:cs="David" w:eastAsia="David" w:hAnsi="David"/>
          <w:b/>
          <w:bCs/>
          <w:sz w:val="22"/>
          <w:szCs w:val="22"/>
          <w:rtl/>
        </w:rPr>
        <w:t xml:space="preserve">התנאים</w:t>
      </w:r>
      <w:r>
        <w:rPr>
          <w:rFonts w:ascii="David" w:cs="David" w:eastAsia="David" w:hAnsi="David"/>
          <w:sz w:val="22"/>
          <w:szCs w:val="22"/>
          <w:rtl/>
        </w:rPr>
        <w:t xml:space="preserve">" או "</w:t>
      </w:r>
      <w:r>
        <w:rPr>
          <w:rFonts w:ascii="David" w:cs="David" w:eastAsia="David" w:hAnsi="David"/>
          <w:b/>
          <w:bCs/>
          <w:sz w:val="22"/>
          <w:szCs w:val="22"/>
          <w:rtl/>
        </w:rPr>
        <w:t xml:space="preserve">ההסכם</w:t>
      </w:r>
      <w:r>
        <w:rPr>
          <w:rFonts w:ascii="David" w:cs="David" w:eastAsia="David" w:hAnsi="David"/>
          <w:sz w:val="22"/>
          <w:szCs w:val="22"/>
          <w:rtl/>
        </w:rPr>
        <w:t xml:space="preserve">") מהווה הסכם משפטי מחייב בין </w:t>
      </w:r>
      <w:r>
        <w:rPr>
          <w:rFonts w:ascii="David" w:cs="David" w:eastAsia="David" w:hAnsi="David"/>
          <w:b/>
          <w:bCs/>
          <w:sz w:val="22"/>
          <w:szCs w:val="22"/>
          <w:rtl/>
        </w:rPr>
        <w:t xml:space="preserve">הבינותי בע"מ</w:t>
      </w:r>
      <w:r>
        <w:rPr>
          <w:rFonts w:ascii="David" w:cs="David" w:eastAsia="David" w:hAnsi="David"/>
          <w:sz w:val="22"/>
          <w:szCs w:val="22"/>
          <w:rtl/>
        </w:rPr>
        <w:t xml:space="preserve">, ח.פ. 516628385, מרחוב הרב עוזיאל 15, בני ברק ("</w:t>
      </w:r>
      <w:r>
        <w:rPr>
          <w:rFonts w:ascii="David" w:cs="David" w:eastAsia="David" w:hAnsi="David"/>
          <w:b/>
          <w:bCs/>
          <w:sz w:val="22"/>
          <w:szCs w:val="22"/>
          <w:rtl/>
        </w:rPr>
        <w:t xml:space="preserve">החברה</w:t>
      </w:r>
      <w:r>
        <w:rPr>
          <w:rFonts w:ascii="David" w:cs="David" w:eastAsia="David" w:hAnsi="David"/>
          <w:sz w:val="22"/>
          <w:szCs w:val="22"/>
          <w:rtl/>
        </w:rPr>
        <w:t xml:space="preserve">"), לבין כל אדם העושה שימוש באתרי החברה, בתוכנת "אקטיב הד" ובשירותיה ("</w:t>
      </w:r>
      <w:r>
        <w:rPr>
          <w:rFonts w:ascii="David" w:cs="David" w:eastAsia="David" w:hAnsi="David"/>
          <w:b/>
          <w:bCs/>
          <w:sz w:val="22"/>
          <w:szCs w:val="22"/>
          <w:rtl/>
        </w:rPr>
        <w:t xml:space="preserve">המשתמש</w:t>
      </w:r>
      <w:r>
        <w:rPr>
          <w:rFonts w:ascii="David" w:cs="David" w:eastAsia="David" w:hAnsi="David"/>
          <w:sz w:val="22"/>
          <w:szCs w:val="22"/>
          <w:rtl/>
        </w:rPr>
        <w:t xml:space="preserve">" או "</w:t>
      </w:r>
      <w:r>
        <w:rPr>
          <w:rFonts w:ascii="David" w:cs="David" w:eastAsia="David" w:hAnsi="David"/>
          <w:b/>
          <w:bCs/>
          <w:sz w:val="22"/>
          <w:szCs w:val="22"/>
          <w:rtl/>
        </w:rPr>
        <w:t xml:space="preserve">הלקוח</w:t>
      </w:r>
      <w:r>
        <w:rPr>
          <w:rFonts w:ascii="David" w:cs="David" w:eastAsia="David" w:hAnsi="David"/>
          <w:sz w:val="22"/>
          <w:szCs w:val="22"/>
          <w:rtl/>
        </w:rPr>
        <w:t xml:space="preserve">"). התנאים חלים, בין היתר, על האתר שכתובתו havinoti.co.il, לרבות מערך הסליקה המופעל בו, ועל האתר/עמוד שכתובתו havinoti.co.il/activhead-bhol (ביחד: "</w:t>
      </w:r>
      <w:r>
        <w:rPr>
          <w:rFonts w:ascii="David" w:cs="David" w:eastAsia="David" w:hAnsi="David"/>
          <w:b/>
          <w:bCs/>
          <w:sz w:val="22"/>
          <w:szCs w:val="22"/>
          <w:rtl/>
        </w:rPr>
        <w:t xml:space="preserve">האתרים</w:t>
      </w:r>
      <w:r>
        <w:rPr>
          <w:rFonts w:ascii="David" w:cs="David" w:eastAsia="David" w:hAnsi="David"/>
          <w:sz w:val="22"/>
          <w:szCs w:val="22"/>
          <w:rtl/>
        </w:rPr>
        <w:t xml:space="preserve">"), וכן על כל אתר, אפליקציה, מערכת מקוונת או שירות ענן נוספים שתפעיל החברה מעת לעת ואשר יפנו למסמך זה.</w:t>
      </w:r>
    </w:p>
    <w:p>
      <w:pPr>
        <w:bidi/>
        <w:spacing w:after="140" w:line="300"/>
        <w:jc w:val="right"/>
      </w:pPr>
      <w:r>
        <w:rPr>
          <w:rFonts w:ascii="David" w:cs="David" w:eastAsia="David" w:hAnsi="David"/>
          <w:sz w:val="22"/>
          <w:szCs w:val="22"/>
          <w:rtl/>
        </w:rPr>
        <w:t xml:space="preserve">גישה לאתרים, פתיחת חשבון, הרשמה, ביצוע הזמנה, רכישת מנוי, סימון תיבת אישור בעמוד התשלום ו/או כל שימוש אחר בשירותי החברה — מהווים הסכמה מלאה, מודעת ומרצון לכל תנאי מסמך זה, לרבות מדיניות הפרטיות, מדיניות האספקה ומדיניות הביטולים המפורטות בו. משתמש שאינו מסכים לתנאי מסמך זה, כולם או חלקם, מתבקש להימנע משימוש באתרים ובשירותים.</w:t>
      </w:r>
    </w:p>
    <w:p>
      <w:pPr>
        <w:bidi/>
        <w:spacing w:after="140" w:line="300"/>
        <w:jc w:val="right"/>
      </w:pPr>
      <w:r>
        <w:rPr>
          <w:rFonts w:ascii="David" w:cs="David" w:eastAsia="David" w:hAnsi="David"/>
          <w:sz w:val="22"/>
          <w:szCs w:val="22"/>
          <w:rtl/>
        </w:rPr>
        <w:t xml:space="preserve">למען הסר ספק, במקרה של סתירה בין תנאים ספציפיים שסוכמו בכתב עם לקוח מסוים (למשל הסכם עם מוסד חינוכי) לבין הוראות מסמך זה, יגברו התנאים הספציפיים שסוכמו, ככל שאינם סותרים הוראת דין קוגנטית שלא ניתן להתנות עליה.</w:t>
      </w:r>
    </w:p>
    <w:p>
      <w:pPr>
        <w:bidi/>
        <w:spacing w:after="140" w:line="300"/>
        <w:jc w:val="right"/>
      </w:pPr>
      <w:r>
        <w:rPr>
          <w:rFonts w:ascii="David" w:cs="David" w:eastAsia="David" w:hAnsi="David"/>
          <w:sz w:val="22"/>
          <w:szCs w:val="22"/>
          <w:rtl/>
        </w:rPr>
        <w:t xml:space="preserve">הנוסח כתוב בלשון זכר מטעמי נוחות בלבד ומתייחס לכל המינים באופן שווה. כותרות הסעיפים נועדו לנוחות בלבד ואין לייחס להן משמעות פרשנית.</w:t>
      </w:r>
    </w:p>
    <w:p>
      <w:pPr>
        <w:pStyle w:val="Heading1"/>
        <w:pBdr>
          <w:bottom w:val="single" w:color="999999" w:sz="6" w:space="4"/>
        </w:pBdr>
        <w:bidi/>
        <w:spacing w:after="140" w:before="280"/>
        <w:jc w:val="right"/>
      </w:pPr>
      <w:r>
        <w:rPr>
          <w:rFonts w:ascii="David" w:cs="David" w:eastAsia="David" w:hAnsi="David"/>
          <w:b/>
          <w:bCs/>
          <w:color w:val="1F3864"/>
          <w:sz w:val="27"/>
          <w:szCs w:val="27"/>
          <w:rtl/>
        </w:rPr>
        <w:t xml:space="preserve">1. הגדרות</w:t>
      </w:r>
    </w:p>
    <w:p>
      <w:pPr>
        <w:bidi/>
        <w:spacing w:after="140" w:line="300"/>
        <w:jc w:val="right"/>
      </w:pPr>
      <w:r>
        <w:rPr>
          <w:rFonts w:ascii="David" w:cs="David" w:eastAsia="David" w:hAnsi="David"/>
          <w:sz w:val="22"/>
          <w:szCs w:val="22"/>
          <w:rtl/>
        </w:rPr>
        <w:t xml:space="preserve">1.1 "</w:t>
      </w:r>
      <w:r>
        <w:rPr>
          <w:rFonts w:ascii="David" w:cs="David" w:eastAsia="David" w:hAnsi="David"/>
          <w:b/>
          <w:bCs/>
          <w:sz w:val="22"/>
          <w:szCs w:val="22"/>
          <w:rtl/>
        </w:rPr>
        <w:t xml:space="preserve">האתרים</w:t>
      </w:r>
      <w:r>
        <w:rPr>
          <w:rFonts w:ascii="David" w:cs="David" w:eastAsia="David" w:hAnsi="David"/>
          <w:sz w:val="22"/>
          <w:szCs w:val="22"/>
          <w:rtl/>
        </w:rPr>
        <w:t xml:space="preserve">" – אתר האינטרנט שכתובתו havinoti.co.il, לרבות עמודי "אקטיב הד" שבכתובת havinoti.co.il/activhead-bhol, וכל אתר, עמוד נחיתה, אפליקציה או מערכת מקוונת נוספים המופעלים על ידי החברה.</w:t>
      </w:r>
    </w:p>
    <w:p>
      <w:pPr>
        <w:bidi/>
        <w:spacing w:after="140" w:line="300"/>
        <w:jc w:val="right"/>
      </w:pPr>
      <w:r>
        <w:rPr>
          <w:rFonts w:ascii="David" w:cs="David" w:eastAsia="David" w:hAnsi="David"/>
          <w:sz w:val="22"/>
          <w:szCs w:val="22"/>
          <w:rtl/>
        </w:rPr>
        <w:t xml:space="preserve">1.2 "</w:t>
      </w:r>
      <w:r>
        <w:rPr>
          <w:rFonts w:ascii="David" w:cs="David" w:eastAsia="David" w:hAnsi="David"/>
          <w:b/>
          <w:bCs/>
          <w:sz w:val="22"/>
          <w:szCs w:val="22"/>
          <w:rtl/>
        </w:rPr>
        <w:t xml:space="preserve">התוכנה</w:t>
      </w:r>
      <w:r>
        <w:rPr>
          <w:rFonts w:ascii="David" w:cs="David" w:eastAsia="David" w:hAnsi="David"/>
          <w:sz w:val="22"/>
          <w:szCs w:val="22"/>
          <w:rtl/>
        </w:rPr>
        <w:t xml:space="preserve">" – תוכנת "אקטיב הד" על כל גרסאותיה, עדכוניה, מודולי הענן שלה והשירותים המשלימים לה.</w:t>
      </w:r>
    </w:p>
    <w:p>
      <w:pPr>
        <w:bidi/>
        <w:spacing w:after="140" w:line="300"/>
        <w:jc w:val="right"/>
      </w:pPr>
      <w:r>
        <w:rPr>
          <w:rFonts w:ascii="David" w:cs="David" w:eastAsia="David" w:hAnsi="David"/>
          <w:sz w:val="22"/>
          <w:szCs w:val="22"/>
          <w:rtl/>
        </w:rPr>
        <w:t xml:space="preserve">1.3 "</w:t>
      </w:r>
      <w:r>
        <w:rPr>
          <w:rFonts w:ascii="David" w:cs="David" w:eastAsia="David" w:hAnsi="David"/>
          <w:b/>
          <w:bCs/>
          <w:sz w:val="22"/>
          <w:szCs w:val="22"/>
          <w:rtl/>
        </w:rPr>
        <w:t xml:space="preserve">הלקוח</w:t>
      </w:r>
      <w:r>
        <w:rPr>
          <w:rFonts w:ascii="David" w:cs="David" w:eastAsia="David" w:hAnsi="David"/>
          <w:sz w:val="22"/>
          <w:szCs w:val="22"/>
          <w:rtl/>
        </w:rPr>
        <w:t xml:space="preserve">" / "</w:t>
      </w:r>
      <w:r>
        <w:rPr>
          <w:rFonts w:ascii="David" w:cs="David" w:eastAsia="David" w:hAnsi="David"/>
          <w:b/>
          <w:bCs/>
          <w:sz w:val="22"/>
          <w:szCs w:val="22"/>
          <w:rtl/>
        </w:rPr>
        <w:t xml:space="preserve">המשתמש</w:t>
      </w:r>
      <w:r>
        <w:rPr>
          <w:rFonts w:ascii="David" w:cs="David" w:eastAsia="David" w:hAnsi="David"/>
          <w:sz w:val="22"/>
          <w:szCs w:val="22"/>
          <w:rtl/>
        </w:rPr>
        <w:t xml:space="preserve">" – כל אדם פרטי, משפחה, מוסד חינוכי, עמותה או תאגיד העושים שימוש באתרים ו/או רוכשים שירות מהחברה.</w:t>
      </w:r>
    </w:p>
    <w:p>
      <w:pPr>
        <w:bidi/>
        <w:spacing w:after="140" w:line="300"/>
        <w:jc w:val="right"/>
      </w:pPr>
      <w:r>
        <w:rPr>
          <w:rFonts w:ascii="David" w:cs="David" w:eastAsia="David" w:hAnsi="David"/>
          <w:sz w:val="22"/>
          <w:szCs w:val="22"/>
          <w:rtl/>
        </w:rPr>
        <w:t xml:space="preserve">1.4 "</w:t>
      </w:r>
      <w:r>
        <w:rPr>
          <w:rFonts w:ascii="David" w:cs="David" w:eastAsia="David" w:hAnsi="David"/>
          <w:b/>
          <w:bCs/>
          <w:sz w:val="22"/>
          <w:szCs w:val="22"/>
          <w:rtl/>
        </w:rPr>
        <w:t xml:space="preserve">המנוי</w:t>
      </w:r>
      <w:r>
        <w:rPr>
          <w:rFonts w:ascii="David" w:cs="David" w:eastAsia="David" w:hAnsi="David"/>
          <w:sz w:val="22"/>
          <w:szCs w:val="22"/>
          <w:rtl/>
        </w:rPr>
        <w:t xml:space="preserve">" – זכות השימוש בתוכנה בהתאם למסלול שנרכש בפועל.</w:t>
      </w:r>
    </w:p>
    <w:p>
      <w:pPr>
        <w:bidi/>
        <w:spacing w:after="140" w:line="300"/>
        <w:jc w:val="right"/>
      </w:pPr>
      <w:r>
        <w:rPr>
          <w:rFonts w:ascii="David" w:cs="David" w:eastAsia="David" w:hAnsi="David"/>
          <w:sz w:val="22"/>
          <w:szCs w:val="22"/>
          <w:rtl/>
        </w:rPr>
        <w:t xml:space="preserve">1.5 "</w:t>
      </w:r>
      <w:r>
        <w:rPr>
          <w:rFonts w:ascii="David" w:cs="David" w:eastAsia="David" w:hAnsi="David"/>
          <w:b/>
          <w:bCs/>
          <w:sz w:val="22"/>
          <w:szCs w:val="22"/>
          <w:rtl/>
        </w:rPr>
        <w:t xml:space="preserve">השירותים</w:t>
      </w:r>
      <w:r>
        <w:rPr>
          <w:rFonts w:ascii="David" w:cs="David" w:eastAsia="David" w:hAnsi="David"/>
          <w:sz w:val="22"/>
          <w:szCs w:val="22"/>
          <w:rtl/>
        </w:rPr>
        <w:t xml:space="preserve">" – כלל השירותים, המוצרים, התכנים והמידע המסופקים על ידי החברה באמצעות האתרים ו/או התוכנה.</w:t>
      </w:r>
    </w:p>
    <w:p>
      <w:pPr>
        <w:bidi/>
        <w:spacing w:after="140" w:line="300"/>
        <w:jc w:val="right"/>
      </w:pPr>
      <w:r>
        <w:rPr>
          <w:rFonts w:ascii="David" w:cs="David" w:eastAsia="David" w:hAnsi="David"/>
          <w:sz w:val="22"/>
          <w:szCs w:val="22"/>
          <w:rtl/>
        </w:rPr>
        <w:t xml:space="preserve">1.6 "</w:t>
      </w:r>
      <w:r>
        <w:rPr>
          <w:rFonts w:ascii="David" w:cs="David" w:eastAsia="David" w:hAnsi="David"/>
          <w:b/>
          <w:bCs/>
          <w:sz w:val="22"/>
          <w:szCs w:val="22"/>
          <w:rtl/>
        </w:rPr>
        <w:t xml:space="preserve">יום עסקים</w:t>
      </w:r>
      <w:r>
        <w:rPr>
          <w:rFonts w:ascii="David" w:cs="David" w:eastAsia="David" w:hAnsi="David"/>
          <w:sz w:val="22"/>
          <w:szCs w:val="22"/>
          <w:rtl/>
        </w:rPr>
        <w:t xml:space="preserve">" – ימים א'-ה', לא כולל ימי שישי, שבת, ערבי חג וימי חג בישראל.</w:t>
      </w:r>
    </w:p>
    <w:p>
      <w:pPr>
        <w:bidi/>
        <w:spacing w:after="140" w:line="300"/>
        <w:jc w:val="right"/>
      </w:pPr>
      <w:r>
        <w:rPr>
          <w:rFonts w:ascii="David" w:cs="David" w:eastAsia="David" w:hAnsi="David"/>
          <w:sz w:val="22"/>
          <w:szCs w:val="22"/>
          <w:rtl/>
        </w:rPr>
        <w:t xml:space="preserve">1.7 "</w:t>
      </w:r>
      <w:r>
        <w:rPr>
          <w:rFonts w:ascii="David" w:cs="David" w:eastAsia="David" w:hAnsi="David"/>
          <w:b/>
          <w:bCs/>
          <w:sz w:val="22"/>
          <w:szCs w:val="22"/>
          <w:rtl/>
        </w:rPr>
        <w:t xml:space="preserve">חוק הגנת הצרכן</w:t>
      </w:r>
      <w:r>
        <w:rPr>
          <w:rFonts w:ascii="David" w:cs="David" w:eastAsia="David" w:hAnsi="David"/>
          <w:sz w:val="22"/>
          <w:szCs w:val="22"/>
          <w:rtl/>
        </w:rPr>
        <w:t xml:space="preserve">" – חוק הגנת הצרכן, התשמ"א-1981, לרבות תקנות הגנת הצרכן (ביטול עסקה), התשע"א-2010, כנוסחם מעת לעת.</w:t>
      </w:r>
    </w:p>
    <w:p>
      <w:pPr>
        <w:bidi/>
        <w:spacing w:after="140" w:line="300"/>
        <w:jc w:val="right"/>
      </w:pPr>
      <w:r>
        <w:rPr>
          <w:rFonts w:ascii="David" w:cs="David" w:eastAsia="David" w:hAnsi="David"/>
          <w:sz w:val="22"/>
          <w:szCs w:val="22"/>
          <w:rtl/>
        </w:rPr>
        <w:t xml:space="preserve">1.8 "</w:t>
      </w:r>
      <w:r>
        <w:rPr>
          <w:rFonts w:ascii="David" w:cs="David" w:eastAsia="David" w:hAnsi="David"/>
          <w:b/>
          <w:bCs/>
          <w:sz w:val="22"/>
          <w:szCs w:val="22"/>
          <w:rtl/>
        </w:rPr>
        <w:t xml:space="preserve">חוק הגנת הפרטיות</w:t>
      </w:r>
      <w:r>
        <w:rPr>
          <w:rFonts w:ascii="David" w:cs="David" w:eastAsia="David" w:hAnsi="David"/>
          <w:sz w:val="22"/>
          <w:szCs w:val="22"/>
          <w:rtl/>
        </w:rPr>
        <w:t xml:space="preserve">" – חוק הגנת הפרטיות, התשמ"א-1981, לרבות תיקון מס' 13 לחוק ותקנותיו, כנוסחם מעת לעת.</w:t>
      </w:r>
    </w:p>
    <w:p>
      <w:pPr>
        <w:pStyle w:val="Heading1"/>
        <w:pBdr>
          <w:bottom w:val="single" w:color="999999" w:sz="6" w:space="4"/>
        </w:pBdr>
        <w:bidi/>
        <w:spacing w:after="140" w:before="280"/>
        <w:jc w:val="right"/>
      </w:pPr>
      <w:r>
        <w:rPr>
          <w:rFonts w:ascii="David" w:cs="David" w:eastAsia="David" w:hAnsi="David"/>
          <w:b/>
          <w:bCs/>
          <w:color w:val="1F3864"/>
          <w:sz w:val="27"/>
          <w:szCs w:val="27"/>
          <w:rtl/>
        </w:rPr>
        <w:t xml:space="preserve">2. כשירות משפטית לשימוש ולביצוע רכישה</w:t>
      </w:r>
    </w:p>
    <w:p>
      <w:pPr>
        <w:bidi/>
        <w:spacing w:after="140" w:line="300"/>
        <w:jc w:val="right"/>
      </w:pPr>
      <w:r>
        <w:rPr>
          <w:rFonts w:ascii="David" w:cs="David" w:eastAsia="David" w:hAnsi="David"/>
          <w:sz w:val="22"/>
          <w:szCs w:val="22"/>
          <w:rtl/>
        </w:rPr>
        <w:t xml:space="preserve">2.1 השימוש באתרים ורכישת השירותים מיועדים לבגיר מעל גיל 18 המחזיק באמצעי תשלום תקף הרשום על שמו.</w:t>
      </w:r>
    </w:p>
    <w:p>
      <w:pPr>
        <w:bidi/>
        <w:spacing w:after="140" w:line="300"/>
        <w:jc w:val="right"/>
      </w:pPr>
      <w:r>
        <w:rPr>
          <w:rFonts w:ascii="David" w:cs="David" w:eastAsia="David" w:hAnsi="David"/>
          <w:sz w:val="22"/>
          <w:szCs w:val="22"/>
          <w:rtl/>
        </w:rPr>
        <w:t xml:space="preserve">2.2 ביצוע רכישה עבור קטין (לרבות רכישת מנוי לילדו של הרוכש) מהווה הצהרה של הרוכש כי הוא הורה או אפוטרופוס חוקי של הקטין, וכי הוא אחראי באופן בלעדי לשימוש הקטין בתוכנה, לרבות לתוכן המוצג לו ולפעילותו במערכת.</w:t>
      </w:r>
    </w:p>
    <w:p>
      <w:pPr>
        <w:bidi/>
        <w:spacing w:after="140" w:line="300"/>
        <w:jc w:val="right"/>
      </w:pPr>
      <w:r>
        <w:rPr>
          <w:rFonts w:ascii="David" w:cs="David" w:eastAsia="David" w:hAnsi="David"/>
          <w:sz w:val="22"/>
          <w:szCs w:val="22"/>
          <w:rtl/>
        </w:rPr>
        <w:t xml:space="preserve">2.3 החברה רשאית לדרוש הצגת אסמכתאות לזיהוי הרוכש ו/או בעל אמצעי התשלום כתנאי להשלמת עסקה, ולסרב לבצע עסקה בהיעדרן.</w:t>
      </w:r>
    </w:p>
    <w:p>
      <w:pPr>
        <w:pStyle w:val="Heading1"/>
        <w:pBdr>
          <w:bottom w:val="single" w:color="999999" w:sz="6" w:space="4"/>
        </w:pBdr>
        <w:bidi/>
        <w:spacing w:after="140" w:before="280"/>
        <w:jc w:val="right"/>
      </w:pPr>
      <w:r>
        <w:rPr>
          <w:rFonts w:ascii="David" w:cs="David" w:eastAsia="David" w:hAnsi="David"/>
          <w:b/>
          <w:bCs/>
          <w:color w:val="1F3864"/>
          <w:sz w:val="27"/>
          <w:szCs w:val="27"/>
          <w:rtl/>
        </w:rPr>
        <w:t xml:space="preserve">3. רישיון השימוש בתוכנה</w:t>
      </w:r>
    </w:p>
    <w:p>
      <w:pPr>
        <w:bidi/>
        <w:spacing w:after="140" w:line="300"/>
        <w:jc w:val="right"/>
      </w:pPr>
      <w:r>
        <w:rPr>
          <w:rFonts w:ascii="David" w:cs="David" w:eastAsia="David" w:hAnsi="David"/>
          <w:sz w:val="22"/>
          <w:szCs w:val="22"/>
          <w:rtl/>
        </w:rPr>
        <w:t xml:space="preserve">3.1 החברה מעניקה ללקוח, כנגד תשלום דמי המנוי ובכפוף לעמידתו בתנאי מסמך זה, רישיון שימוש אישי, מוגבל, בלתי בלעדי, בלתי ניתן להעברה ובלתי ניתן להענקת רישיון משנה, לשימוש בתוכנה למשך תקופת המנוי בלבד ("</w:t>
      </w:r>
      <w:r>
        <w:rPr>
          <w:rFonts w:ascii="David" w:cs="David" w:eastAsia="David" w:hAnsi="David"/>
          <w:b/>
          <w:bCs/>
          <w:sz w:val="22"/>
          <w:szCs w:val="22"/>
          <w:rtl/>
        </w:rPr>
        <w:t xml:space="preserve">הרישיון</w:t>
      </w:r>
      <w:r>
        <w:rPr>
          <w:rFonts w:ascii="David" w:cs="David" w:eastAsia="David" w:hAnsi="David"/>
          <w:sz w:val="22"/>
          <w:szCs w:val="22"/>
          <w:rtl/>
        </w:rPr>
        <w:t xml:space="preserve">"). התוכנה אינה נמכרת ללקוח בכל צורה שהיא, אלא ניתנת לו ברישיון שימוש מוגבל כאמור.</w:t>
      </w:r>
    </w:p>
    <w:p>
      <w:pPr>
        <w:bidi/>
        <w:spacing w:after="140" w:line="300"/>
        <w:jc w:val="right"/>
      </w:pPr>
      <w:r>
        <w:rPr>
          <w:rFonts w:ascii="David" w:cs="David" w:eastAsia="David" w:hAnsi="David"/>
          <w:sz w:val="22"/>
          <w:szCs w:val="22"/>
          <w:rtl/>
        </w:rPr>
        <w:t xml:space="preserve">3.2 מבלי לגרוע מכלליות האמור, חל איסור על הלקוח, במישרין או בעקיפין:</w:t>
      </w:r>
    </w:p>
    <w:p>
      <w:pPr>
        <w:bidi/>
        <w:spacing w:after="140" w:line="300"/>
        <w:jc w:val="right"/>
      </w:pPr>
      <w:r>
        <w:rPr>
          <w:rFonts w:ascii="David" w:cs="David" w:eastAsia="David" w:hAnsi="David"/>
          <w:sz w:val="22"/>
          <w:szCs w:val="22"/>
          <w:rtl/>
        </w:rPr>
        <w:t xml:space="preserve">א. להעביר, למכור, להשכיר, להשאיל, להמחות או להעניק רישיון משנה בתוכנה או בזכות השימוש בה לצד שלישי כלשהו;</w:t>
      </w:r>
    </w:p>
    <w:p>
      <w:pPr>
        <w:bidi/>
        <w:spacing w:after="140" w:line="300"/>
        <w:jc w:val="right"/>
      </w:pPr>
      <w:r>
        <w:rPr>
          <w:rFonts w:ascii="David" w:cs="David" w:eastAsia="David" w:hAnsi="David"/>
          <w:sz w:val="22"/>
          <w:szCs w:val="22"/>
          <w:rtl/>
        </w:rPr>
        <w:t xml:space="preserve">ב. לבצע הנדסה לאחור, פירוק או ניסיון לחשוף את קוד המקור של התוכנה, למעט ככל שהדבר מותר במפורש על פי דין קוגנטי שלא ניתן להתנות עליו;</w:t>
      </w:r>
    </w:p>
    <w:p>
      <w:pPr>
        <w:bidi/>
        <w:spacing w:after="140" w:line="300"/>
        <w:jc w:val="right"/>
      </w:pPr>
      <w:r>
        <w:rPr>
          <w:rFonts w:ascii="David" w:cs="David" w:eastAsia="David" w:hAnsi="David"/>
          <w:sz w:val="22"/>
          <w:szCs w:val="22"/>
          <w:rtl/>
        </w:rPr>
        <w:t xml:space="preserve">ג. לעקוף, לנטרל או לנסות לעקוף אמצעי הגנה, אבטחה או הרשאה בתוכנה או באתרים;</w:t>
      </w:r>
    </w:p>
    <w:p>
      <w:pPr>
        <w:bidi/>
        <w:spacing w:after="140" w:line="300"/>
        <w:jc w:val="right"/>
      </w:pPr>
      <w:r>
        <w:rPr>
          <w:rFonts w:ascii="David" w:cs="David" w:eastAsia="David" w:hAnsi="David"/>
          <w:sz w:val="22"/>
          <w:szCs w:val="22"/>
          <w:rtl/>
        </w:rPr>
        <w:t xml:space="preserve">ד. להעתיק, לשכפל, להפיץ, לפרסם או לעשות שימוש מסחרי בתוכנה, בתכניה או בכל חלק מהם, ללא הסכמת החברה מראש ובכתב;</w:t>
      </w:r>
    </w:p>
    <w:p>
      <w:pPr>
        <w:bidi/>
        <w:spacing w:after="140" w:line="300"/>
        <w:jc w:val="right"/>
      </w:pPr>
      <w:r>
        <w:rPr>
          <w:rFonts w:ascii="David" w:cs="David" w:eastAsia="David" w:hAnsi="David"/>
          <w:sz w:val="22"/>
          <w:szCs w:val="22"/>
          <w:rtl/>
        </w:rPr>
        <w:t xml:space="preserve">ה. לעשות שימוש באמצעים אוטומטיים (בוטים, סקריפטים, כריית נתונים וכיו"ב) העלולים לפגוע בפעילות התקינה של המערכת או להטיל עליה עומס בלתי סביר;</w:t>
      </w:r>
    </w:p>
    <w:p>
      <w:pPr>
        <w:bidi/>
        <w:spacing w:after="140" w:line="300"/>
        <w:jc w:val="right"/>
      </w:pPr>
      <w:r>
        <w:rPr>
          <w:rFonts w:ascii="David" w:cs="David" w:eastAsia="David" w:hAnsi="David"/>
          <w:sz w:val="22"/>
          <w:szCs w:val="22"/>
          <w:rtl/>
        </w:rPr>
        <w:t xml:space="preserve">ו. לאפשר לצדדים שלישיים שאינם מורשים שימוש בפרטי ההתחברות של הלקוח למערכת.</w:t>
      </w:r>
    </w:p>
    <w:p>
      <w:pPr>
        <w:bidi/>
        <w:spacing w:after="140" w:line="300"/>
        <w:jc w:val="right"/>
      </w:pPr>
      <w:r>
        <w:rPr>
          <w:rFonts w:ascii="David" w:cs="David" w:eastAsia="David" w:hAnsi="David"/>
          <w:sz w:val="22"/>
          <w:szCs w:val="22"/>
          <w:rtl/>
        </w:rPr>
        <w:t xml:space="preserve">3.3 כל זכויות הקניין הרוחני בתוכנה, באתרים, בממשקים, בעיצוב, בתכנים ובכל חומר נלווה — לרבות זכויות יוצרים, סימני מסחר וסודות מסחריים ככל שקיימים — שייכות במלואן לחברה ו/או למי מטעמה בלבד, ולא תשתמע מהענקת הרישיון כל זכות קניינית ללקוח בתוכנה.</w:t>
      </w:r>
    </w:p>
    <w:p>
      <w:pPr>
        <w:bidi/>
        <w:spacing w:after="140" w:line="300"/>
        <w:jc w:val="right"/>
      </w:pPr>
      <w:r>
        <w:rPr>
          <w:rFonts w:ascii="David" w:cs="David" w:eastAsia="David" w:hAnsi="David"/>
          <w:sz w:val="22"/>
          <w:szCs w:val="22"/>
          <w:rtl/>
        </w:rPr>
        <w:t xml:space="preserve">3.4 שיפור, פיתוח, מודול או תוסף שיפותחו ביחס לתוכנה, לרבות בהתאם לבקשת הלקוח, יהיו בבעלותה הבלעדית של החברה, אלא אם הוסכם אחרת בכתב.</w:t>
      </w:r>
    </w:p>
    <w:p>
      <w:pPr>
        <w:pStyle w:val="Heading1"/>
        <w:pBdr>
          <w:bottom w:val="single" w:color="999999" w:sz="6" w:space="4"/>
        </w:pBdr>
        <w:bidi/>
        <w:spacing w:after="140" w:before="280"/>
        <w:jc w:val="right"/>
      </w:pPr>
      <w:r>
        <w:rPr>
          <w:rFonts w:ascii="David" w:cs="David" w:eastAsia="David" w:hAnsi="David"/>
          <w:b/>
          <w:bCs/>
          <w:color w:val="1F3864"/>
          <w:sz w:val="27"/>
          <w:szCs w:val="27"/>
          <w:rtl/>
        </w:rPr>
        <w:t xml:space="preserve">4. מסלולי השירות והמנויים</w:t>
      </w:r>
    </w:p>
    <w:p>
      <w:pPr>
        <w:bidi/>
        <w:spacing w:after="140" w:line="300"/>
        <w:jc w:val="right"/>
      </w:pPr>
      <w:r>
        <w:rPr>
          <w:rFonts w:ascii="David" w:cs="David" w:eastAsia="David" w:hAnsi="David"/>
          <w:sz w:val="22"/>
          <w:szCs w:val="22"/>
          <w:rtl/>
        </w:rPr>
        <w:t xml:space="preserve">4.1 החברה רשאית להציע מעת לעת, לפי שיקול דעתה, מסלולי מנוי שונים, ובהם: מנוי חודשי, מנוי בהתחייבות מינימלית, מנוי משפחתי, מסלולים למוסדות חינוך ומסלולים בינלאומיים.</w:t>
      </w:r>
    </w:p>
    <w:p>
      <w:pPr>
        <w:bidi/>
        <w:spacing w:after="140" w:line="300"/>
        <w:jc w:val="right"/>
      </w:pPr>
      <w:r>
        <w:rPr>
          <w:rFonts w:ascii="David" w:cs="David" w:eastAsia="David" w:hAnsi="David"/>
          <w:sz w:val="22"/>
          <w:szCs w:val="22"/>
          <w:rtl/>
        </w:rPr>
        <w:t xml:space="preserve">4.2 תנאי המסלול הספציפי (מחיר, תדירות חיוב, היקף שימוש, ותקופת התחייבות אם ישנה) יוצגו ללקוח באופן ברור וקריא בעמוד התשלום, בטרם השלמת העסקה, ויחייבו את הצדדים כפי שהוצגו וסוכמו במעמד ההתקשרות.</w:t>
      </w:r>
    </w:p>
    <w:p>
      <w:pPr>
        <w:bidi/>
        <w:spacing w:after="140" w:line="300"/>
        <w:jc w:val="right"/>
      </w:pPr>
      <w:r>
        <w:rPr>
          <w:rFonts w:ascii="David" w:cs="David" w:eastAsia="David" w:hAnsi="David"/>
          <w:sz w:val="22"/>
          <w:szCs w:val="22"/>
          <w:rtl/>
        </w:rPr>
        <w:t xml:space="preserve">4.3 </w:t>
      </w:r>
      <w:r>
        <w:rPr>
          <w:rFonts w:ascii="David" w:cs="David" w:eastAsia="David" w:hAnsi="David"/>
          <w:b/>
          <w:bCs/>
          <w:sz w:val="22"/>
          <w:szCs w:val="22"/>
          <w:rtl/>
        </w:rPr>
        <w:t xml:space="preserve">תקופת התחייבות מינימלית.</w:t>
      </w:r>
      <w:r>
        <w:rPr>
          <w:rFonts w:ascii="David" w:cs="David" w:eastAsia="David" w:hAnsi="David"/>
          <w:sz w:val="22"/>
          <w:szCs w:val="22"/>
          <w:rtl/>
        </w:rPr>
        <w:t xml:space="preserve"> ככל שנמכר ללקוח מסלול הכולל תקופת התחייבות מינימלית, יפורט הדבר במפורש בעמוד התשלום ובאישור ההזמנה שיישלח ללקוח, לרבות משך ההתחייבות וגובה עלות היציאה המוקדמת (ככל שקיימת). </w:t>
      </w:r>
      <w:r>
        <w:rPr>
          <w:rFonts w:ascii="David" w:cs="David" w:eastAsia="David" w:hAnsi="David"/>
          <w:b/>
          <w:bCs/>
          <w:sz w:val="22"/>
          <w:szCs w:val="22"/>
          <w:rtl/>
        </w:rPr>
        <w:t xml:space="preserve">אין באמור כדי לגרוע מזכות הלקוח לבטל את העסקה בתוך פרק הזמן הקבוע בדין לפי סעיף 6 להלן, אשר עומדת לו חרף כל תקופת התחייבות.</w:t>
      </w:r>
      <w:r>
        <w:rPr>
          <w:rFonts w:ascii="David" w:cs="David" w:eastAsia="David" w:hAnsi="David"/>
          <w:sz w:val="22"/>
          <w:szCs w:val="22"/>
          <w:rtl/>
        </w:rPr>
        <w:t xml:space="preserve"> מעבר לתקופת הביטול הקבועה בדין, ביקש הלקוח להפסיק את השירות במהלך תקופת ההתחייבות מטעמים שאינם קשורים בפגם או באי-התאמה בשירות, רשאית החברה לגבות ממנו את יתרת התשלומים בעד יתרת תקופת ההתחייבות או עלות יציאה מוסכמת כפי שפורטה מראש, לפי הנמוך מביניהם, הכל בכפוף לכל דין.</w:t>
      </w:r>
    </w:p>
    <w:p>
      <w:pPr>
        <w:pStyle w:val="Heading1"/>
        <w:pBdr>
          <w:bottom w:val="single" w:color="999999" w:sz="6" w:space="4"/>
        </w:pBdr>
        <w:bidi/>
        <w:spacing w:after="140" w:before="280"/>
        <w:jc w:val="right"/>
      </w:pPr>
      <w:r>
        <w:rPr>
          <w:rFonts w:ascii="David" w:cs="David" w:eastAsia="David" w:hAnsi="David"/>
          <w:b/>
          <w:bCs/>
          <w:color w:val="1F3864"/>
          <w:sz w:val="27"/>
          <w:szCs w:val="27"/>
          <w:rtl/>
        </w:rPr>
        <w:t xml:space="preserve">5. חידוש אוטומטי וחיובים</w:t>
      </w:r>
    </w:p>
    <w:p>
      <w:pPr>
        <w:bidi/>
        <w:spacing w:after="140" w:line="300"/>
        <w:jc w:val="right"/>
      </w:pPr>
      <w:r>
        <w:rPr>
          <w:rFonts w:ascii="David" w:cs="David" w:eastAsia="David" w:hAnsi="David"/>
          <w:sz w:val="22"/>
          <w:szCs w:val="22"/>
          <w:rtl/>
        </w:rPr>
        <w:t xml:space="preserve">5.1 המנוי הינו מנוי חודשי מתגלגל ("</w:t>
      </w:r>
      <w:r>
        <w:rPr>
          <w:rFonts w:ascii="David" w:cs="David" w:eastAsia="David" w:hAnsi="David"/>
          <w:b/>
          <w:bCs/>
          <w:sz w:val="22"/>
          <w:szCs w:val="22"/>
          <w:rtl/>
        </w:rPr>
        <w:t xml:space="preserve">עסקה מתמשכת</w:t>
      </w:r>
      <w:r>
        <w:rPr>
          <w:rFonts w:ascii="David" w:cs="David" w:eastAsia="David" w:hAnsi="David"/>
          <w:sz w:val="22"/>
          <w:szCs w:val="22"/>
          <w:rtl/>
        </w:rPr>
        <w:t xml:space="preserve">"), הנגבה מדי חודש מאמצעי התשלום שנמסר, ללא מועד סיום קבוע מראש, החל ממועד ההצטרפות ועד למועד קבלת הודעת ביטול כדין מהלקוח בהתאם למדיניות הביטולים שבסעיף 6 להלן.</w:t>
      </w:r>
    </w:p>
    <w:p>
      <w:pPr>
        <w:bidi/>
        <w:spacing w:after="140" w:line="300"/>
        <w:jc w:val="right"/>
      </w:pPr>
      <w:r>
        <w:rPr>
          <w:rFonts w:ascii="David" w:cs="David" w:eastAsia="David" w:hAnsi="David"/>
          <w:sz w:val="22"/>
          <w:szCs w:val="22"/>
          <w:rtl/>
        </w:rPr>
        <w:t xml:space="preserve">5.2 נמכר ללקוח מסלול הכולל תקופת התחייבות מינימלית (למשל 3 חודשים, כמפורט בסעיף 4.3 לעיל), ימשיך המנוי לחול ולהיגבות על בסיס חודשי מתגלגל כאמור גם לאחר תום תקופת ההתחייבות המינימלית, ללא צורך בפעולה נוספת מצד הלקוח או החברה וללא הודעה מיוחדת נוספת בכל חודש — וזאת עד למועד שבו יגיש הלקוח בקשת ביטול כדין. עם תום תקופת ההתחייבות המינימלית, רשאי הלקוח לבטל את המנוי בכל עת, ללא דמי ביטול הנובעים מאי-מיצוי תקופת ההתחייבות (שכן זו כבר מוצתה במלואה).</w:t>
      </w:r>
    </w:p>
    <w:p>
      <w:pPr>
        <w:bidi/>
        <w:spacing w:after="140" w:line="300"/>
        <w:jc w:val="right"/>
      </w:pPr>
      <w:r>
        <w:rPr>
          <w:rFonts w:ascii="David" w:cs="David" w:eastAsia="David" w:hAnsi="David"/>
          <w:sz w:val="22"/>
          <w:szCs w:val="22"/>
          <w:rtl/>
        </w:rPr>
        <w:t xml:space="preserve">5.3 באחריות הלקוח לוודא כי פרטי אמצעי התשלום עדכניים ותקפים. במקרה של כשל בגביית תשלום, רשאית החברה, לפי שיקול דעתה: לבצע ניסיון חיוב חוזר; ליצור קשר עם הלקוח; להגביל זמנית את הגישה לשירות; ולבסוף, אם הפיגור לא הוסדר בתוך זמן סביר לאחר יידוע הלקוח — להשעות או לבטל את גישתו לתוכנה, מבלי לגרוע מזכות החברה לגבות את החוב בכל דרך אחרת על פי דין.</w:t>
      </w:r>
    </w:p>
    <w:p>
      <w:pPr>
        <w:bidi/>
        <w:spacing w:after="140" w:line="300"/>
        <w:jc w:val="right"/>
      </w:pPr>
      <w:r>
        <w:rPr>
          <w:rFonts w:ascii="David" w:cs="David" w:eastAsia="David" w:hAnsi="David"/>
          <w:sz w:val="22"/>
          <w:szCs w:val="22"/>
          <w:rtl/>
        </w:rPr>
        <w:t xml:space="preserve">5.4 </w:t>
      </w:r>
      <w:r>
        <w:rPr>
          <w:rFonts w:ascii="David" w:cs="David" w:eastAsia="David" w:hAnsi="David"/>
          <w:b/>
          <w:bCs/>
          <w:sz w:val="22"/>
          <w:szCs w:val="22"/>
          <w:rtl/>
        </w:rPr>
        <w:t xml:space="preserve">שינוי מחירים.</w:t>
      </w:r>
      <w:r>
        <w:rPr>
          <w:rFonts w:ascii="David" w:cs="David" w:eastAsia="David" w:hAnsi="David"/>
          <w:sz w:val="22"/>
          <w:szCs w:val="22"/>
          <w:rtl/>
        </w:rPr>
        <w:t xml:space="preserve"> החברה רשאית לעדכן את מחירי המנויים, ובלבד שנמסרה ללקוח קיים הודעה מוקדמת של 90 ימים לפחות, וכי השינוי לא יחול למפרע על חיובים שכבר בוצעו. לקוח שאינו מסכים לשינוי המחיר רשאי לבטל את המנוי בהתאם למדיניות הביטולים שלהלן, טרם כניסת המחיר החדש לתוקף.</w:t>
      </w:r>
    </w:p>
    <w:p>
      <w:pPr>
        <w:bidi/>
        <w:spacing w:after="140" w:line="300"/>
        <w:jc w:val="right"/>
      </w:pPr>
      <w:r>
        <w:rPr>
          <w:rFonts w:ascii="David" w:cs="David" w:eastAsia="David" w:hAnsi="David"/>
          <w:sz w:val="22"/>
          <w:szCs w:val="22"/>
          <w:rtl/>
        </w:rPr>
        <w:t xml:space="preserve">5.5 </w:t>
      </w:r>
      <w:r>
        <w:rPr>
          <w:rFonts w:ascii="David" w:cs="David" w:eastAsia="David" w:hAnsi="David"/>
          <w:b/>
          <w:bCs/>
          <w:sz w:val="22"/>
          <w:szCs w:val="22"/>
          <w:rtl/>
        </w:rPr>
        <w:t xml:space="preserve">מסלולים בתקופה קצובה קבועה (ככל שיוצעו).</w:t>
      </w:r>
      <w:r>
        <w:rPr>
          <w:rFonts w:ascii="David" w:cs="David" w:eastAsia="David" w:hAnsi="David"/>
          <w:sz w:val="22"/>
          <w:szCs w:val="22"/>
          <w:rtl/>
        </w:rPr>
        <w:t xml:space="preserve"> תציע החברה בעתיד מסלול השונה מהמנוי החודשי המתגלגל המתואר לעיל — כגון מנוי לתקופה קצובה קבועה (למשל מנוי שנתי) המתחדש אוטומטית לתקופה נוספת זהה — תמסור החברה ללקוח באותו מסלול הודעה מוקדמת בהתאם לסעיף 13ג1 לחוק הגנת הצרכן, לא יאוחר מ-30 ימים ולא לפני 90 יום לפני תום התקופה, ותאפשר לו לבטל את ההתקשרות בהתאם. הוראה זו אינה חלה על המנוי החודשי המתגלגל הרגיל המתואר בסעיפים 5.1-5.2 לעיל.</w:t>
      </w:r>
    </w:p>
    <w:p>
      <w:pPr>
        <w:pStyle w:val="Heading1"/>
        <w:pBdr>
          <w:bottom w:val="single" w:color="999999" w:sz="6" w:space="4"/>
        </w:pBdr>
        <w:bidi/>
        <w:spacing w:after="140" w:before="280"/>
        <w:jc w:val="right"/>
      </w:pPr>
      <w:r>
        <w:rPr>
          <w:rFonts w:ascii="David" w:cs="David" w:eastAsia="David" w:hAnsi="David"/>
          <w:b/>
          <w:bCs/>
          <w:color w:val="1F3864"/>
          <w:sz w:val="27"/>
          <w:szCs w:val="27"/>
          <w:rtl/>
        </w:rPr>
        <w:t xml:space="preserve">6. מדיניות ביטולים והחזרים כספיים</w:t>
      </w:r>
    </w:p>
    <w:p>
      <w:pPr>
        <w:bidi/>
        <w:spacing w:after="140" w:line="300"/>
        <w:jc w:val="right"/>
      </w:pPr>
      <w:r>
        <w:rPr>
          <w:rFonts w:ascii="David" w:cs="David" w:eastAsia="David" w:hAnsi="David"/>
          <w:sz w:val="22"/>
          <w:szCs w:val="22"/>
          <w:rtl/>
        </w:rPr>
        <w:t xml:space="preserve">6.1 מדיניות זו נקבעה בהתאם להוראות חוק הגנת הצרכן, כנוסחו מעת לעת, ואינה נועדה לגרוע מכל זכות המוקנית ללקוח מכוח הדין. בכל מקרה של סתירה בין האמור במדיניות זו לבין הוראות דין קוגנטיות — יגברו הוראות הדין.</w:t>
      </w:r>
    </w:p>
    <w:p>
      <w:pPr>
        <w:bidi/>
        <w:spacing w:after="140" w:line="300"/>
        <w:jc w:val="right"/>
      </w:pPr>
      <w:r>
        <w:rPr>
          <w:rFonts w:ascii="David" w:cs="David" w:eastAsia="David" w:hAnsi="David"/>
          <w:sz w:val="22"/>
          <w:szCs w:val="22"/>
          <w:rtl/>
        </w:rPr>
        <w:t xml:space="preserve">6.2 </w:t>
      </w:r>
      <w:r>
        <w:rPr>
          <w:rFonts w:ascii="David" w:cs="David" w:eastAsia="David" w:hAnsi="David"/>
          <w:b/>
          <w:bCs/>
          <w:sz w:val="22"/>
          <w:szCs w:val="22"/>
          <w:rtl/>
        </w:rPr>
        <w:t xml:space="preserve">זכות ביטול כללית.</w:t>
      </w:r>
    </w:p>
    <w:p>
      <w:pPr>
        <w:bidi/>
        <w:spacing w:after="140" w:line="300"/>
        <w:jc w:val="right"/>
      </w:pPr>
      <w:r>
        <w:rPr>
          <w:rFonts w:ascii="David" w:cs="David" w:eastAsia="David" w:hAnsi="David"/>
          <w:sz w:val="22"/>
          <w:szCs w:val="22"/>
          <w:rtl/>
        </w:rPr>
        <w:t xml:space="preserve">א. ברכישת נכס (מוצר פיזי) — בתוך 14 ימים מיום קבלת הנכס, או מיום קבלת מסמך המפרט את פרטי העסקה כאמור בסעיף 14ג לחוק הגנת הצרכן, לפי המאוחר מביניהם.</w:t>
      </w:r>
    </w:p>
    <w:p>
      <w:pPr>
        <w:bidi/>
        <w:spacing w:after="140" w:line="300"/>
        <w:jc w:val="right"/>
      </w:pPr>
      <w:r>
        <w:rPr>
          <w:rFonts w:ascii="David" w:cs="David" w:eastAsia="David" w:hAnsi="David"/>
          <w:sz w:val="22"/>
          <w:szCs w:val="22"/>
          <w:rtl/>
        </w:rPr>
        <w:t xml:space="preserve">ב. ברכישת שירות, לרבות מנוי לתוכנה — בתוך 14 ימים מיום עשיית העסקה או מיום קבלת המסמך כאמור, לפי המאוחר מביניהם, ובכפוף לכך שהביטול נעשה לפחות שני ימים שאינם ימי מנוחה קודם למועד שבו אמור השירות להינתן (ככל שרלוונטי).</w:t>
      </w:r>
    </w:p>
    <w:p>
      <w:pPr>
        <w:bidi/>
        <w:spacing w:after="140" w:line="300"/>
        <w:jc w:val="right"/>
      </w:pPr>
      <w:r>
        <w:rPr>
          <w:rFonts w:ascii="David" w:cs="David" w:eastAsia="David" w:hAnsi="David"/>
          <w:sz w:val="22"/>
          <w:szCs w:val="22"/>
          <w:rtl/>
        </w:rPr>
        <w:t xml:space="preserve">6.3 </w:t>
      </w:r>
      <w:r>
        <w:rPr>
          <w:rFonts w:ascii="David" w:cs="David" w:eastAsia="David" w:hAnsi="David"/>
          <w:b/>
          <w:bCs/>
          <w:sz w:val="22"/>
          <w:szCs w:val="22"/>
          <w:rtl/>
        </w:rPr>
        <w:t xml:space="preserve">זכות ביטול מוארכת לאוכלוסיות מיוחדות.</w:t>
      </w:r>
      <w:r>
        <w:rPr>
          <w:rFonts w:ascii="David" w:cs="David" w:eastAsia="David" w:hAnsi="David"/>
          <w:sz w:val="22"/>
          <w:szCs w:val="22"/>
          <w:rtl/>
        </w:rPr>
        <w:t xml:space="preserve"> לקוח שהינו אדם עם מוגבלות, אזרח ותיק (מעל גיל 65) או עולה חדש (בתוך חמש שנים ממועד עלייתו), רשאי לבטל את העסקה בתוך </w:t>
      </w:r>
      <w:r>
        <w:rPr>
          <w:rFonts w:ascii="David" w:cs="David" w:eastAsia="David" w:hAnsi="David"/>
          <w:b/>
          <w:bCs/>
          <w:sz w:val="22"/>
          <w:szCs w:val="22"/>
          <w:rtl/>
        </w:rPr>
        <w:t xml:space="preserve">4 חודשים</w:t>
      </w:r>
      <w:r>
        <w:rPr>
          <w:rFonts w:ascii="David" w:cs="David" w:eastAsia="David" w:hAnsi="David"/>
          <w:sz w:val="22"/>
          <w:szCs w:val="22"/>
          <w:rtl/>
        </w:rPr>
        <w:t xml:space="preserve"> ממועד ביצועה, בכפוף לכך שההתקשרות כללה שיחה בין הלקוח לנציג החברה (לרבות שיחה טלפונית), ובכפוף לזכות החברה לדרוש אסמכתה סבירה לעניין הזכאות, הכל בהתאם לסעיף 14ג(ד) לחוק הגנת הצרכן.</w:t>
      </w:r>
    </w:p>
    <w:p>
      <w:pPr>
        <w:bidi/>
        <w:spacing w:after="140" w:line="300"/>
        <w:jc w:val="right"/>
      </w:pPr>
      <w:r>
        <w:rPr>
          <w:rFonts w:ascii="David" w:cs="David" w:eastAsia="David" w:hAnsi="David"/>
          <w:sz w:val="22"/>
          <w:szCs w:val="22"/>
          <w:rtl/>
        </w:rPr>
        <w:t xml:space="preserve">6.4 </w:t>
      </w:r>
      <w:r>
        <w:rPr>
          <w:rFonts w:ascii="David" w:cs="David" w:eastAsia="David" w:hAnsi="David"/>
          <w:b/>
          <w:bCs/>
          <w:sz w:val="22"/>
          <w:szCs w:val="22"/>
          <w:rtl/>
        </w:rPr>
        <w:t xml:space="preserve">תוכן דיגיטלי ושירותי תוכנה שמימושם החל.</w:t>
      </w:r>
      <w:r>
        <w:rPr>
          <w:rFonts w:ascii="David" w:cs="David" w:eastAsia="David" w:hAnsi="David"/>
          <w:sz w:val="22"/>
          <w:szCs w:val="22"/>
          <w:rtl/>
        </w:rPr>
        <w:t xml:space="preserve"> נמסרו ללקוח פרטי התחברות לתוכנה ו/או החל הלקוח לעשות שימוש בפועל בשירות דיגיטלי בתוך תקופת הביטול, </w:t>
      </w:r>
      <w:r>
        <w:rPr>
          <w:rFonts w:ascii="David" w:cs="David" w:eastAsia="David" w:hAnsi="David"/>
          <w:b/>
          <w:bCs/>
          <w:sz w:val="22"/>
          <w:szCs w:val="22"/>
          <w:rtl/>
        </w:rPr>
        <w:t xml:space="preserve">בהסכמתו המפורשת ולאחר שהובהר לו כי בכך הוא מוותר על זכות הביטול ביחס לחלק מהשירות שכבר נוצל בפועל</w:t>
      </w:r>
      <w:r>
        <w:rPr>
          <w:rFonts w:ascii="David" w:cs="David" w:eastAsia="David" w:hAnsi="David"/>
          <w:sz w:val="22"/>
          <w:szCs w:val="22"/>
          <w:rtl/>
        </w:rPr>
        <w:t xml:space="preserve"> — תהא החברה רשאית לגבות תשלום יחסי בעד השימוש שנעשה בפועל עד למועד הביטול, בהתאם לתקנות הגנת הצרכן (ביטול עסקה), ולא תהיה מחויבת בהשבה מלאה של הסכום ששולם עבור אותה תקופה. אין באמור כדי לגרוע מזכות הביטול המלאה בגין מוצר או שירות שטרם נוצל.</w:t>
      </w:r>
    </w:p>
    <w:p>
      <w:pPr>
        <w:bidi/>
        <w:spacing w:after="140" w:line="300"/>
        <w:jc w:val="right"/>
      </w:pPr>
      <w:r>
        <w:rPr>
          <w:rFonts w:ascii="David" w:cs="David" w:eastAsia="David" w:hAnsi="David"/>
          <w:sz w:val="22"/>
          <w:szCs w:val="22"/>
          <w:rtl/>
        </w:rPr>
        <w:t xml:space="preserve">6.5 </w:t>
      </w:r>
      <w:r>
        <w:rPr>
          <w:rFonts w:ascii="David" w:cs="David" w:eastAsia="David" w:hAnsi="David"/>
          <w:b/>
          <w:bCs/>
          <w:sz w:val="22"/>
          <w:szCs w:val="22"/>
          <w:rtl/>
        </w:rPr>
        <w:t xml:space="preserve">דמי ביטול.</w:t>
      </w:r>
      <w:r>
        <w:rPr>
          <w:rFonts w:ascii="David" w:cs="David" w:eastAsia="David" w:hAnsi="David"/>
          <w:sz w:val="22"/>
          <w:szCs w:val="22"/>
          <w:rtl/>
        </w:rPr>
        <w:t xml:space="preserve"> ביטל הלקוח עסקה שלא עקב פגם במוצר/בשירות או אי-התאמה, רשאית החברה לגבות דמי ביטול בשיעור של עד 5% ממחיר העסקה או 100 ₪, לפי הנמוך מביניהם, כאמור בסעיף 14ה לחוק הגנת הצרכן.</w:t>
      </w:r>
    </w:p>
    <w:p>
      <w:pPr>
        <w:bidi/>
        <w:spacing w:after="140" w:line="300"/>
        <w:jc w:val="right"/>
      </w:pPr>
      <w:r>
        <w:rPr>
          <w:rFonts w:ascii="David" w:cs="David" w:eastAsia="David" w:hAnsi="David"/>
          <w:sz w:val="22"/>
          <w:szCs w:val="22"/>
          <w:rtl/>
        </w:rPr>
        <w:t xml:space="preserve">6.6 </w:t>
      </w:r>
      <w:r>
        <w:rPr>
          <w:rFonts w:ascii="David" w:cs="David" w:eastAsia="David" w:hAnsi="David"/>
          <w:b/>
          <w:bCs/>
          <w:sz w:val="22"/>
          <w:szCs w:val="22"/>
          <w:rtl/>
        </w:rPr>
        <w:t xml:space="preserve">ביטול עקב פגם או אי-התאמה.</w:t>
      </w:r>
      <w:r>
        <w:rPr>
          <w:rFonts w:ascii="David" w:cs="David" w:eastAsia="David" w:hAnsi="David"/>
          <w:sz w:val="22"/>
          <w:szCs w:val="22"/>
          <w:rtl/>
        </w:rPr>
        <w:t xml:space="preserve"> ביטל הלקוח עסקה עקב פגם במוצר/בשירות, אי-התאמה בין המוצר/השירות לבין הפרטים שנמסרו לגביו, אי-אספקה במועד שנקבע, או כל הפרה אחרת של תנאי החוזה מצד החברה — לא ייגבו דמי ביטול, וההחזר הכספי יבוצע במלואו, לרבות החזר דמי משלוח ששולמו בפועל, ככל שרלוונטי.</w:t>
      </w:r>
    </w:p>
    <w:p>
      <w:pPr>
        <w:bidi/>
        <w:spacing w:after="140" w:line="300"/>
        <w:jc w:val="right"/>
      </w:pPr>
      <w:r>
        <w:rPr>
          <w:rFonts w:ascii="David" w:cs="David" w:eastAsia="David" w:hAnsi="David"/>
          <w:sz w:val="22"/>
          <w:szCs w:val="22"/>
          <w:rtl/>
        </w:rPr>
        <w:t xml:space="preserve">6.7 </w:t>
      </w:r>
      <w:r>
        <w:rPr>
          <w:rFonts w:ascii="David" w:cs="David" w:eastAsia="David" w:hAnsi="David"/>
          <w:b/>
          <w:bCs/>
          <w:sz w:val="22"/>
          <w:szCs w:val="22"/>
          <w:rtl/>
        </w:rPr>
        <w:t xml:space="preserve">אופן מסירת הודעת ביטול ("ביטול קל").</w:t>
      </w:r>
      <w:r>
        <w:rPr>
          <w:rFonts w:ascii="David" w:cs="David" w:eastAsia="David" w:hAnsi="David"/>
          <w:sz w:val="22"/>
          <w:szCs w:val="22"/>
          <w:rtl/>
        </w:rPr>
        <w:t xml:space="preserve"> לקוח שהתקשר עם החברה באמצעות האתר ו/או הטלפון, רשאי לבטל את העסקה באותה דרך שנעשתה בה ההתקשרות, ובכלל זה:</w:t>
      </w:r>
    </w:p>
    <w:p>
      <w:pPr>
        <w:bidi/>
        <w:spacing w:after="140" w:line="300"/>
        <w:jc w:val="right"/>
      </w:pPr>
      <w:r>
        <w:rPr>
          <w:rFonts w:ascii="David" w:cs="David" w:eastAsia="David" w:hAnsi="David"/>
          <w:sz w:val="22"/>
          <w:szCs w:val="22"/>
          <w:rtl/>
        </w:rPr>
        <w:t xml:space="preserve">א. באמצעות קישור "ביטול עסקה" הזמין בתחתית האתר;</w:t>
      </w:r>
    </w:p>
    <w:p>
      <w:pPr>
        <w:bidi/>
        <w:spacing w:after="140" w:line="300"/>
        <w:jc w:val="right"/>
      </w:pPr>
      <w:r>
        <w:rPr>
          <w:rFonts w:ascii="David" w:cs="David" w:eastAsia="David" w:hAnsi="David"/>
          <w:sz w:val="22"/>
          <w:szCs w:val="22"/>
          <w:rtl/>
        </w:rPr>
        <w:t xml:space="preserve">ב. במשלוח הודעה לדוא"ל havinoti214@gmail.com;</w:t>
      </w:r>
    </w:p>
    <w:p>
      <w:pPr>
        <w:bidi/>
        <w:spacing w:after="140" w:line="300"/>
        <w:jc w:val="right"/>
      </w:pPr>
      <w:r>
        <w:rPr>
          <w:rFonts w:ascii="David" w:cs="David" w:eastAsia="David" w:hAnsi="David"/>
          <w:sz w:val="22"/>
          <w:szCs w:val="22"/>
          <w:rtl/>
        </w:rPr>
        <w:t xml:space="preserve">ג. בפנייה טלפונית לשירות הלקוחות במספר 03-3818980;</w:t>
      </w:r>
    </w:p>
    <w:p>
      <w:pPr>
        <w:bidi/>
        <w:spacing w:after="140" w:line="300"/>
        <w:jc w:val="right"/>
      </w:pPr>
      <w:r>
        <w:rPr>
          <w:rFonts w:ascii="David" w:cs="David" w:eastAsia="David" w:hAnsi="David"/>
          <w:sz w:val="22"/>
          <w:szCs w:val="22"/>
          <w:rtl/>
        </w:rPr>
        <w:t xml:space="preserve">ד. בכל אמצעי נוסף שתעמיד החברה לצורך כך.</w:t>
      </w:r>
    </w:p>
    <w:p>
      <w:pPr>
        <w:bidi/>
        <w:spacing w:after="140" w:line="300"/>
        <w:jc w:val="right"/>
      </w:pPr>
      <w:r>
        <w:rPr>
          <w:rFonts w:ascii="David" w:cs="David" w:eastAsia="David" w:hAnsi="David"/>
          <w:sz w:val="22"/>
          <w:szCs w:val="22"/>
          <w:rtl/>
        </w:rPr>
        <w:t xml:space="preserve">הודעת הביטול תכלול את פרטי הלקוח והעסקה המבוקשת לביטול, ככל הנדרש לשם זיהויה.</w:t>
      </w:r>
    </w:p>
    <w:p>
      <w:pPr>
        <w:bidi/>
        <w:spacing w:after="140" w:line="300"/>
        <w:jc w:val="right"/>
      </w:pPr>
      <w:r>
        <w:rPr>
          <w:rFonts w:ascii="David" w:cs="David" w:eastAsia="David" w:hAnsi="David"/>
          <w:sz w:val="22"/>
          <w:szCs w:val="22"/>
          <w:rtl/>
        </w:rPr>
        <w:t xml:space="preserve">6.8 </w:t>
      </w:r>
      <w:r>
        <w:rPr>
          <w:rFonts w:ascii="David" w:cs="David" w:eastAsia="David" w:hAnsi="David"/>
          <w:b/>
          <w:bCs/>
          <w:sz w:val="22"/>
          <w:szCs w:val="22"/>
          <w:rtl/>
        </w:rPr>
        <w:t xml:space="preserve">החזר כספי.</w:t>
      </w:r>
      <w:r>
        <w:rPr>
          <w:rFonts w:ascii="David" w:cs="David" w:eastAsia="David" w:hAnsi="David"/>
          <w:sz w:val="22"/>
          <w:szCs w:val="22"/>
          <w:rtl/>
        </w:rPr>
        <w:t xml:space="preserve"> אישרה החברה את הביטול, יושב ללקוח הסכום ששולם על ידו (בניכוי דמי ביטול כדין ו/או תשלום יחסי בעד שימוש שנוצל, ככל שחלים), בתוך 14 ימים מיום קבלת הודעת הביטול, באותו אמצעי תשלום ששימש לביצוע העסקה.</w:t>
      </w:r>
    </w:p>
    <w:p>
      <w:pPr>
        <w:bidi/>
        <w:spacing w:after="140" w:line="300"/>
        <w:jc w:val="right"/>
      </w:pPr>
      <w:r>
        <w:rPr>
          <w:rFonts w:ascii="David" w:cs="David" w:eastAsia="David" w:hAnsi="David"/>
          <w:sz w:val="22"/>
          <w:szCs w:val="22"/>
          <w:rtl/>
        </w:rPr>
        <w:t xml:space="preserve">6.9 </w:t>
      </w:r>
      <w:r>
        <w:rPr>
          <w:rFonts w:ascii="David" w:cs="David" w:eastAsia="David" w:hAnsi="David"/>
          <w:b/>
          <w:bCs/>
          <w:sz w:val="22"/>
          <w:szCs w:val="22"/>
          <w:rtl/>
        </w:rPr>
        <w:t xml:space="preserve">ביטול מוצר פיזי לאחר קבלתו.</w:t>
      </w:r>
      <w:r>
        <w:rPr>
          <w:rFonts w:ascii="David" w:cs="David" w:eastAsia="David" w:hAnsi="David"/>
          <w:sz w:val="22"/>
          <w:szCs w:val="22"/>
          <w:rtl/>
        </w:rPr>
        <w:t xml:space="preserve"> במקרה של ביטול עסקה במוצר פיזי (כגון התקן דיסק-און-קי) שלא עקב פגם, יחזיר הלקוח על חשבונו את המוצר לכתובת שתימסר לו על ידי שירות הלקוחות, במצבו כפי שנמסר לו.</w:t>
      </w:r>
    </w:p>
    <w:p>
      <w:pPr>
        <w:pStyle w:val="Heading1"/>
        <w:pBdr>
          <w:bottom w:val="single" w:color="999999" w:sz="6" w:space="4"/>
        </w:pBdr>
        <w:bidi/>
        <w:spacing w:after="140" w:before="280"/>
        <w:jc w:val="right"/>
      </w:pPr>
      <w:r>
        <w:rPr>
          <w:rFonts w:ascii="David" w:cs="David" w:eastAsia="David" w:hAnsi="David"/>
          <w:b/>
          <w:bCs/>
          <w:color w:val="1F3864"/>
          <w:sz w:val="27"/>
          <w:szCs w:val="27"/>
          <w:rtl/>
        </w:rPr>
        <w:t xml:space="preserve">7. מדיניות אספקה</w:t>
      </w:r>
    </w:p>
    <w:p>
      <w:pPr>
        <w:bidi/>
        <w:spacing w:after="140" w:line="300"/>
        <w:jc w:val="right"/>
      </w:pPr>
      <w:r>
        <w:rPr>
          <w:rFonts w:ascii="David" w:cs="David" w:eastAsia="David" w:hAnsi="David"/>
          <w:sz w:val="22"/>
          <w:szCs w:val="22"/>
          <w:rtl/>
        </w:rPr>
        <w:t xml:space="preserve">7.1 </w:t>
      </w:r>
      <w:r>
        <w:rPr>
          <w:rFonts w:ascii="David" w:cs="David" w:eastAsia="David" w:hAnsi="David"/>
          <w:b/>
          <w:bCs/>
          <w:sz w:val="22"/>
          <w:szCs w:val="22"/>
          <w:rtl/>
        </w:rPr>
        <w:t xml:space="preserve">שירותים דיגיטליים.</w:t>
      </w:r>
      <w:r>
        <w:rPr>
          <w:rFonts w:ascii="David" w:cs="David" w:eastAsia="David" w:hAnsi="David"/>
          <w:sz w:val="22"/>
          <w:szCs w:val="22"/>
          <w:rtl/>
        </w:rPr>
        <w:t xml:space="preserve"> אספקת גישה לתוכנה ולשירותים הדיגיטליים תתבצע, ככלל, מיידית לאחר אישור העסקה על ידי חברת הסליקה ואישור החברה, באמצעות פתיחת חשבון משתמש ו/או משלוח פרטי התחברות לכתובת הדוא"ל שנמסרה. במקרים חריגים תתבצע האספקה בתוך זמן סביר, ולא יאוחר משלושה ימי עסקים, ממועד אישור העסקה.</w:t>
      </w:r>
    </w:p>
    <w:p>
      <w:pPr>
        <w:bidi/>
        <w:spacing w:after="140" w:line="300"/>
        <w:jc w:val="right"/>
      </w:pPr>
      <w:r>
        <w:rPr>
          <w:rFonts w:ascii="David" w:cs="David" w:eastAsia="David" w:hAnsi="David"/>
          <w:sz w:val="22"/>
          <w:szCs w:val="22"/>
          <w:rtl/>
        </w:rPr>
        <w:t xml:space="preserve">7.2 </w:t>
      </w:r>
      <w:r>
        <w:rPr>
          <w:rFonts w:ascii="David" w:cs="David" w:eastAsia="David" w:hAnsi="David"/>
          <w:b/>
          <w:bCs/>
          <w:sz w:val="22"/>
          <w:szCs w:val="22"/>
          <w:rtl/>
        </w:rPr>
        <w:t xml:space="preserve">מוצרים פיזיים.</w:t>
      </w:r>
      <w:r>
        <w:rPr>
          <w:rFonts w:ascii="David" w:cs="David" w:eastAsia="David" w:hAnsi="David"/>
          <w:sz w:val="22"/>
          <w:szCs w:val="22"/>
          <w:rtl/>
        </w:rPr>
        <w:t xml:space="preserve"> מוצרים פיזיים, לרבות התקני דיסק-און-קי, יסופקו באמצעות חברת שילוח ו/או דואר ישראל, לפי כתובת שנמסרה על ידי הלקוח. זמן האספקה המקובל הינו עד 7 ימי עסקים ממועד אישור העסקה, ובכל מקרה לא יאוחר מ-30 ימים ממועד זה, כנדרש בסעיף 33 לחוק הגנת הצרכן. לא סופק המוצר במועד, רשאי הלקוח ליידע את החברה בכתב, והחברה תספק את המוצר בתוך זמן סביר ולא יאוחר מ-7 ימי עסקים ממועד קבלת ההודעה; לא סופק המוצר גם בתוך פרק זמן זה, רשאי הלקוח לבטל את העסקה ולקבל החזר מלא, בהתאם לדין.</w:t>
      </w:r>
    </w:p>
    <w:p>
      <w:pPr>
        <w:bidi/>
        <w:spacing w:after="140" w:line="300"/>
        <w:jc w:val="right"/>
      </w:pPr>
      <w:r>
        <w:rPr>
          <w:rFonts w:ascii="David" w:cs="David" w:eastAsia="David" w:hAnsi="David"/>
          <w:sz w:val="22"/>
          <w:szCs w:val="22"/>
          <w:rtl/>
        </w:rPr>
        <w:t xml:space="preserve">7.3 עיכובים הנובעים מחברת השילוח, מכוח עליון, או מנסיבות שאינן בשליטת החברה, לא ייחשבו כהפרת התחייבות מצד החברה, אך לא יהיה בכך כדי לגרוע מזכויות הלקוח לפי סעיף 7.2 לעיל.</w:t>
      </w:r>
    </w:p>
    <w:p>
      <w:pPr>
        <w:bidi/>
        <w:spacing w:after="140" w:line="300"/>
        <w:jc w:val="right"/>
      </w:pPr>
      <w:r>
        <w:rPr>
          <w:rFonts w:ascii="David" w:cs="David" w:eastAsia="David" w:hAnsi="David"/>
          <w:sz w:val="22"/>
          <w:szCs w:val="22"/>
          <w:rtl/>
        </w:rPr>
        <w:t xml:space="preserve">7.4 </w:t>
      </w:r>
      <w:r>
        <w:rPr>
          <w:rFonts w:ascii="David" w:cs="David" w:eastAsia="David" w:hAnsi="David"/>
          <w:b/>
          <w:bCs/>
          <w:sz w:val="22"/>
          <w:szCs w:val="22"/>
          <w:rtl/>
        </w:rPr>
        <w:t xml:space="preserve">מלאי.</w:t>
      </w:r>
      <w:r>
        <w:rPr>
          <w:rFonts w:ascii="David" w:cs="David" w:eastAsia="David" w:hAnsi="David"/>
          <w:sz w:val="22"/>
          <w:szCs w:val="22"/>
          <w:rtl/>
        </w:rPr>
        <w:t xml:space="preserve"> ככל שמוצר אזל מהמלאי לאחר ביצוע ההזמנה, תיידע החברה את הלקוח בהקדם ותציע לו החזר כספי מלא או מוצר חלופי שווה ערך, לפי בחירת הלקוח.</w:t>
      </w:r>
    </w:p>
    <w:p>
      <w:pPr>
        <w:pStyle w:val="Heading1"/>
        <w:pBdr>
          <w:bottom w:val="single" w:color="999999" w:sz="6" w:space="4"/>
        </w:pBdr>
        <w:bidi/>
        <w:spacing w:after="140" w:before="280"/>
        <w:jc w:val="right"/>
      </w:pPr>
      <w:r>
        <w:rPr>
          <w:rFonts w:ascii="David" w:cs="David" w:eastAsia="David" w:hAnsi="David"/>
          <w:b/>
          <w:bCs/>
          <w:color w:val="1F3864"/>
          <w:sz w:val="27"/>
          <w:szCs w:val="27"/>
          <w:rtl/>
        </w:rPr>
        <w:t xml:space="preserve">8. שירות לקוחות</w:t>
      </w:r>
    </w:p>
    <w:p>
      <w:pPr>
        <w:bidi/>
        <w:spacing w:after="140" w:line="300"/>
        <w:jc w:val="right"/>
      </w:pPr>
      <w:r>
        <w:rPr>
          <w:rFonts w:ascii="David" w:cs="David" w:eastAsia="David" w:hAnsi="David"/>
          <w:sz w:val="22"/>
          <w:szCs w:val="22"/>
          <w:rtl/>
        </w:rPr>
        <w:t xml:space="preserve">ניתן לפנות לשירות הלקוחות של החברה בטלפון 03-3818980 ובדוא"ל havinoti214@gmail.com, בימים א'-ה' בשעות הפעילות המפורטות באתר. החברה תשיב לפניות בתוך זמן סביר, ולפניות הנוגעות לביטול עסקה או לתלונה על אי-התאמה — בהקדם האפשרי ולא יאוחר מהמועדים הקבועים בדין.</w:t>
      </w:r>
    </w:p>
    <w:p>
      <w:pPr>
        <w:pStyle w:val="Heading1"/>
        <w:pBdr>
          <w:bottom w:val="single" w:color="999999" w:sz="6" w:space="4"/>
        </w:pBdr>
        <w:bidi/>
        <w:spacing w:after="140" w:before="280"/>
        <w:jc w:val="right"/>
      </w:pPr>
      <w:r>
        <w:rPr>
          <w:rFonts w:ascii="David" w:cs="David" w:eastAsia="David" w:hAnsi="David"/>
          <w:b/>
          <w:bCs/>
          <w:color w:val="1F3864"/>
          <w:sz w:val="27"/>
          <w:szCs w:val="27"/>
          <w:rtl/>
        </w:rPr>
        <w:t xml:space="preserve">9. הצהרות בריאותיות ומקצועיות</w:t>
      </w:r>
    </w:p>
    <w:p>
      <w:pPr>
        <w:bidi/>
        <w:spacing w:after="140" w:line="300"/>
        <w:jc w:val="right"/>
      </w:pPr>
      <w:r>
        <w:rPr>
          <w:rFonts w:ascii="David" w:cs="David" w:eastAsia="David" w:hAnsi="David"/>
          <w:sz w:val="22"/>
          <w:szCs w:val="22"/>
          <w:rtl/>
        </w:rPr>
        <w:t xml:space="preserve">9.1 תוכנת "אקטיב הד" הינה כלי לאימון קוגניטיבי, ואינה: (א) מכשיר רפואי; (ב) כלי לאבחון רפואי, פסיכולוגי או חינוכי; (ג) תחליף לייעוץ, טיפול או מעקב על ידי איש מקצוע מוסמך (רופא, פסיכולוג, קלינאי תקשורת, מומחה קשב וריכוז וכיו"ב).</w:t>
      </w:r>
    </w:p>
    <w:p>
      <w:pPr>
        <w:bidi/>
        <w:spacing w:after="140" w:line="300"/>
        <w:jc w:val="right"/>
      </w:pPr>
      <w:r>
        <w:rPr>
          <w:rFonts w:ascii="David" w:cs="David" w:eastAsia="David" w:hAnsi="David"/>
          <w:sz w:val="22"/>
          <w:szCs w:val="22"/>
          <w:rtl/>
        </w:rPr>
        <w:t xml:space="preserve">9.2 השימוש בתוכנה, לרבות המלצות בדבר תדירות ומשך שימוש, אינו מהווה ייעוץ רפואי, ואין להסתמך עליו ככזה. משתמש הסבור כי הוא זקוק לטיפול או אבחון מקצועי מופנה לפנות לאיש מקצוע מתאים.</w:t>
      </w:r>
    </w:p>
    <w:p>
      <w:pPr>
        <w:bidi/>
        <w:spacing w:after="140" w:line="300"/>
        <w:jc w:val="right"/>
      </w:pPr>
      <w:r>
        <w:rPr>
          <w:rFonts w:ascii="David" w:cs="David" w:eastAsia="David" w:hAnsi="David"/>
          <w:sz w:val="22"/>
          <w:szCs w:val="22"/>
          <w:rtl/>
        </w:rPr>
        <w:t xml:space="preserve">9.3 תוצאות השימוש בתוכנה משתנות ממשתמש למשתמש, ותלויות בגורמים רבים שאינם בשליטת החברה. כל נתון סטטיסטי המוצג באתרים (לרבות אחוזי שיפור שנמדדו בקרב קבוצת משתמשים) הינו ממוצע היסטורי בלבד, ואין בו כדי להבטיח תוצאה דומה או כלשהי למשתמש ספציפי.</w:t>
      </w:r>
    </w:p>
    <w:p>
      <w:pPr>
        <w:bidi/>
        <w:spacing w:after="140" w:line="300"/>
        <w:jc w:val="right"/>
      </w:pPr>
      <w:r>
        <w:rPr>
          <w:rFonts w:ascii="David" w:cs="David" w:eastAsia="David" w:hAnsi="David"/>
          <w:sz w:val="22"/>
          <w:szCs w:val="22"/>
          <w:rtl/>
        </w:rPr>
        <w:t xml:space="preserve">9.4 החברה ממליצה לעשות שימוש בתוכנה במתכונת המומלצת המפורטת בהנחיות השימוש (לרבות מגבלות משך שימוש יומי), ואינה אחראית לתוצאות שימוש החורג מהנחיות אלה.</w:t>
      </w:r>
    </w:p>
    <w:p>
      <w:pPr>
        <w:pStyle w:val="Heading1"/>
        <w:pBdr>
          <w:bottom w:val="single" w:color="999999" w:sz="6" w:space="4"/>
        </w:pBdr>
        <w:bidi/>
        <w:spacing w:after="140" w:before="280"/>
        <w:jc w:val="right"/>
      </w:pPr>
      <w:r>
        <w:rPr>
          <w:rFonts w:ascii="David" w:cs="David" w:eastAsia="David" w:hAnsi="David"/>
          <w:b/>
          <w:bCs/>
          <w:color w:val="1F3864"/>
          <w:sz w:val="27"/>
          <w:szCs w:val="27"/>
          <w:rtl/>
        </w:rPr>
        <w:t xml:space="preserve">10. עדכוני תוכנה, תחזוקה ושימוש בבינה מלאכותית</w:t>
      </w:r>
    </w:p>
    <w:p>
      <w:pPr>
        <w:bidi/>
        <w:spacing w:after="140" w:line="300"/>
        <w:jc w:val="right"/>
      </w:pPr>
      <w:r>
        <w:rPr>
          <w:rFonts w:ascii="David" w:cs="David" w:eastAsia="David" w:hAnsi="David"/>
          <w:sz w:val="22"/>
          <w:szCs w:val="22"/>
          <w:rtl/>
        </w:rPr>
        <w:t xml:space="preserve">10.1 החברה רשאית לבצע עדכוני תוכנה, עבודות תחזוקה, השבתות מתוכננות ושינויים בממשק המשתמש ובמאפייני השירות, ותפעל לצמצום משך ההשבתות ומועדן ככל הניתן, ותעדיף לבצען מחוץ לשעות השימוש המקובלות.</w:t>
      </w:r>
    </w:p>
    <w:p>
      <w:pPr>
        <w:bidi/>
        <w:spacing w:after="140" w:line="300"/>
        <w:jc w:val="right"/>
      </w:pPr>
      <w:r>
        <w:rPr>
          <w:rFonts w:ascii="David" w:cs="David" w:eastAsia="David" w:hAnsi="David"/>
          <w:sz w:val="22"/>
          <w:szCs w:val="22"/>
          <w:rtl/>
        </w:rPr>
        <w:t xml:space="preserve">10.2 החברה רשאית לעשות שימוש בטכנולוגיות בינה מלאכותית לשיפור השירותים, התאמת תכנים, ניתוח נתונים ומתן המלצות, בכפוף למדיניות הפרטיות שלהלן ולהוראות הדין.</w:t>
      </w:r>
    </w:p>
    <w:p>
      <w:pPr>
        <w:pStyle w:val="Heading1"/>
        <w:pBdr>
          <w:bottom w:val="single" w:color="999999" w:sz="6" w:space="4"/>
        </w:pBdr>
        <w:bidi/>
        <w:spacing w:after="140" w:before="280"/>
        <w:jc w:val="right"/>
      </w:pPr>
      <w:r>
        <w:rPr>
          <w:rFonts w:ascii="David" w:cs="David" w:eastAsia="David" w:hAnsi="David"/>
          <w:b/>
          <w:bCs/>
          <w:color w:val="1F3864"/>
          <w:sz w:val="27"/>
          <w:szCs w:val="27"/>
          <w:rtl/>
        </w:rPr>
        <w:t xml:space="preserve">11. שימוש תקין ואבטחת חשבון</w:t>
      </w:r>
    </w:p>
    <w:p>
      <w:pPr>
        <w:bidi/>
        <w:spacing w:after="140" w:line="300"/>
        <w:jc w:val="right"/>
      </w:pPr>
      <w:r>
        <w:rPr>
          <w:rFonts w:ascii="David" w:cs="David" w:eastAsia="David" w:hAnsi="David"/>
          <w:sz w:val="22"/>
          <w:szCs w:val="22"/>
          <w:rtl/>
        </w:rPr>
        <w:t xml:space="preserve">11.1 הלקוח מתחייב שלא: להעביר את פרטי ההתחברות שלו לצד שלישי; לאפשר שימוש בלתי מורשה בחשבונו; לבצע פעולה העלולה לפגוע במערכות החברה או במשתמשים אחרים; לעשות שימוש בלתי סביר במשאבי המערכת.</w:t>
      </w:r>
    </w:p>
    <w:p>
      <w:pPr>
        <w:bidi/>
        <w:spacing w:after="140" w:line="300"/>
        <w:jc w:val="right"/>
      </w:pPr>
      <w:r>
        <w:rPr>
          <w:rFonts w:ascii="David" w:cs="David" w:eastAsia="David" w:hAnsi="David"/>
          <w:sz w:val="22"/>
          <w:szCs w:val="22"/>
          <w:rtl/>
        </w:rPr>
        <w:t xml:space="preserve">11.2 החברה רשאית להגביל, להשעות או לבטל חשבון משתמש, מיידית וללא הודעה מוקדמת, במקרה של חשד סביר להפרת תנאי מסמך זה, לשימוש לרעה, להונאה, או לפעילות המסכנת את אבטחת המערכת, ומבלי לגרוע מכל סעד אחר העומד לחברה על פי דין.</w:t>
      </w:r>
    </w:p>
    <w:p>
      <w:pPr>
        <w:pStyle w:val="Heading1"/>
        <w:pBdr>
          <w:bottom w:val="single" w:color="999999" w:sz="6" w:space="4"/>
        </w:pBdr>
        <w:bidi/>
        <w:spacing w:after="140" w:before="280"/>
        <w:jc w:val="right"/>
      </w:pPr>
      <w:r>
        <w:rPr>
          <w:rFonts w:ascii="David" w:cs="David" w:eastAsia="David" w:hAnsi="David"/>
          <w:b/>
          <w:bCs/>
          <w:color w:val="1F3864"/>
          <w:sz w:val="27"/>
          <w:szCs w:val="27"/>
          <w:rtl/>
        </w:rPr>
        <w:t xml:space="preserve">12. שירותים למוסדות חינוך</w:t>
      </w:r>
    </w:p>
    <w:p>
      <w:pPr>
        <w:bidi/>
        <w:spacing w:after="140" w:line="300"/>
        <w:jc w:val="right"/>
      </w:pPr>
      <w:r>
        <w:rPr>
          <w:rFonts w:ascii="David" w:cs="David" w:eastAsia="David" w:hAnsi="David"/>
          <w:sz w:val="22"/>
          <w:szCs w:val="22"/>
          <w:rtl/>
        </w:rPr>
        <w:t xml:space="preserve">12.1 התקשר עם החברה מוסד חינוכי, עמותה או גוף מוסדי אחר ("</w:t>
      </w:r>
      <w:r>
        <w:rPr>
          <w:rFonts w:ascii="David" w:cs="David" w:eastAsia="David" w:hAnsi="David"/>
          <w:b/>
          <w:bCs/>
          <w:sz w:val="22"/>
          <w:szCs w:val="22"/>
          <w:rtl/>
        </w:rPr>
        <w:t xml:space="preserve">המוסד</w:t>
      </w:r>
      <w:r>
        <w:rPr>
          <w:rFonts w:ascii="David" w:cs="David" w:eastAsia="David" w:hAnsi="David"/>
          <w:sz w:val="22"/>
          <w:szCs w:val="22"/>
          <w:rtl/>
        </w:rPr>
        <w:t xml:space="preserve">") לצורך רכישת מנויים או שירותים עבור תלמידיו/חניכיו, יחולו הוראות אלה בנוסף לשאר הוראות מסמך זה:</w:t>
      </w:r>
    </w:p>
    <w:p>
      <w:pPr>
        <w:bidi/>
        <w:spacing w:after="140" w:line="300"/>
        <w:jc w:val="right"/>
      </w:pPr>
      <w:r>
        <w:rPr>
          <w:rFonts w:ascii="David" w:cs="David" w:eastAsia="David" w:hAnsi="David"/>
          <w:sz w:val="22"/>
          <w:szCs w:val="22"/>
          <w:rtl/>
        </w:rPr>
        <w:t xml:space="preserve">א. המוסד אחראי באופן בלעדי לניהול רשימת המשתמשים מטעמו ולעדכונה.</w:t>
      </w:r>
    </w:p>
    <w:p>
      <w:pPr>
        <w:bidi/>
        <w:spacing w:after="140" w:line="300"/>
        <w:jc w:val="right"/>
      </w:pPr>
      <w:r>
        <w:rPr>
          <w:rFonts w:ascii="David" w:cs="David" w:eastAsia="David" w:hAnsi="David"/>
          <w:sz w:val="22"/>
          <w:szCs w:val="22"/>
          <w:rtl/>
        </w:rPr>
        <w:t xml:space="preserve">ב. המוסד אחראי לקבלת כל ההסכמות וההרשאות הנדרשות על פי דין ממי מטעמו (לרבות הורי קטינים, ככל שרלוונטי) לשם השימוש בתוכנה ומסירת מידע אישי לחברה.</w:t>
      </w:r>
    </w:p>
    <w:p>
      <w:pPr>
        <w:bidi/>
        <w:spacing w:after="140" w:line="300"/>
        <w:jc w:val="right"/>
      </w:pPr>
      <w:r>
        <w:rPr>
          <w:rFonts w:ascii="David" w:cs="David" w:eastAsia="David" w:hAnsi="David"/>
          <w:sz w:val="22"/>
          <w:szCs w:val="22"/>
          <w:rtl/>
        </w:rPr>
        <w:t xml:space="preserve">ג. המוסד אחראי לשמירת סודיות פרטי ההתחברות של המשתמשים מטעמו.</w:t>
      </w:r>
    </w:p>
    <w:p>
      <w:pPr>
        <w:bidi/>
        <w:spacing w:after="140" w:line="300"/>
        <w:jc w:val="right"/>
      </w:pPr>
      <w:r>
        <w:rPr>
          <w:rFonts w:ascii="David" w:cs="David" w:eastAsia="David" w:hAnsi="David"/>
          <w:sz w:val="22"/>
          <w:szCs w:val="22"/>
          <w:rtl/>
        </w:rPr>
        <w:t xml:space="preserve">ד. המוסד ישפה את החברה בגין כל נזק, תביעה או דרישה שייגרמו לה כתוצאה מהפרת התחייבויותיו לפי סעיף זה.</w:t>
      </w:r>
    </w:p>
    <w:p>
      <w:pPr>
        <w:bidi/>
        <w:spacing w:after="140" w:line="300"/>
        <w:jc w:val="right"/>
      </w:pPr>
      <w:r>
        <w:rPr>
          <w:rFonts w:ascii="David" w:cs="David" w:eastAsia="David" w:hAnsi="David"/>
          <w:sz w:val="22"/>
          <w:szCs w:val="22"/>
          <w:rtl/>
        </w:rPr>
        <w:t xml:space="preserve">12.2 הוראות הסכם פרטני שנחתם בכתב עם מוסד חינוכי יגברו על הוראות מסמך זה, במקרה של סתירה, ככל שאינן סותרות דין קוגנטי.</w:t>
      </w:r>
    </w:p>
    <w:p>
      <w:pPr>
        <w:pStyle w:val="Heading1"/>
        <w:pBdr>
          <w:bottom w:val="single" w:color="999999" w:sz="6" w:space="4"/>
        </w:pBdr>
        <w:bidi/>
        <w:spacing w:after="140" w:before="280"/>
        <w:jc w:val="right"/>
      </w:pPr>
      <w:r>
        <w:rPr>
          <w:rFonts w:ascii="David" w:cs="David" w:eastAsia="David" w:hAnsi="David"/>
          <w:b/>
          <w:bCs/>
          <w:color w:val="1F3864"/>
          <w:sz w:val="27"/>
          <w:szCs w:val="27"/>
          <w:rtl/>
        </w:rPr>
        <w:t xml:space="preserve">13. קניין רוחני באתרים</w:t>
      </w:r>
    </w:p>
    <w:p>
      <w:pPr>
        <w:bidi/>
        <w:spacing w:after="140" w:line="300"/>
        <w:jc w:val="right"/>
      </w:pPr>
      <w:r>
        <w:rPr>
          <w:rFonts w:ascii="David" w:cs="David" w:eastAsia="David" w:hAnsi="David"/>
          <w:sz w:val="22"/>
          <w:szCs w:val="22"/>
          <w:rtl/>
        </w:rPr>
        <w:t xml:space="preserve">כל זכויות הקניין הרוחני באתרים, בעיצובם, בתכניהם, בסימני המסחר, בלוגו, בתמונות ובכל חומר אחר המוצג בהם, שייכות לחברה או לצדדים שלישיים שהעניקו לה רישיון שימוש, ואין לעשות בהם כל שימוש — לרבות העתקה, הפצה או שימוש מסחרי — ללא הסכמת החברה מראש ובכתב.</w:t>
      </w:r>
    </w:p>
    <w:p>
      <w:pPr>
        <w:pStyle w:val="Heading1"/>
        <w:pBdr>
          <w:bottom w:val="single" w:color="999999" w:sz="6" w:space="4"/>
        </w:pBdr>
        <w:bidi/>
        <w:spacing w:after="140" w:before="280"/>
        <w:jc w:val="right"/>
      </w:pPr>
      <w:r>
        <w:rPr>
          <w:rFonts w:ascii="David" w:cs="David" w:eastAsia="David" w:hAnsi="David"/>
          <w:b/>
          <w:bCs/>
          <w:color w:val="1F3864"/>
          <w:sz w:val="27"/>
          <w:szCs w:val="27"/>
          <w:rtl/>
        </w:rPr>
        <w:t xml:space="preserve">14. הגבלת אחריות</w:t>
      </w:r>
    </w:p>
    <w:p>
      <w:pPr>
        <w:bidi/>
        <w:spacing w:after="140" w:line="300"/>
        <w:jc w:val="right"/>
      </w:pPr>
      <w:r>
        <w:rPr>
          <w:rFonts w:ascii="David" w:cs="David" w:eastAsia="David" w:hAnsi="David"/>
          <w:sz w:val="22"/>
          <w:szCs w:val="22"/>
          <w:rtl/>
        </w:rPr>
        <w:t xml:space="preserve">14.1 השירותים והתוכנה ניתנים כמות שהם ("AS IS"), ללא כל התחייבות מצד החברה לפעילות רציפה, נטולת תקלות, או להתאמה לצורך מסוים של המשתמש, למעט ככל שנקבע אחרת במפורש במסמך זה.</w:t>
      </w:r>
    </w:p>
    <w:p>
      <w:pPr>
        <w:bidi/>
        <w:spacing w:after="140" w:line="300"/>
        <w:jc w:val="right"/>
      </w:pPr>
      <w:r>
        <w:rPr>
          <w:rFonts w:ascii="David" w:cs="David" w:eastAsia="David" w:hAnsi="David"/>
          <w:sz w:val="22"/>
          <w:szCs w:val="22"/>
          <w:rtl/>
        </w:rPr>
        <w:t xml:space="preserve">14.2 החברה לא תישא באחריות לנזק עקיף, תוצאתי, מקרי או מיוחד, לרבות אובדן רווחים, אובדן הזדמנות עסקית או אובדן מידע, הנובע מהשימוש או מאי-היכולת להשתמש בשירותים, ככל שהדבר מותר על פי דין.</w:t>
      </w:r>
    </w:p>
    <w:p>
      <w:pPr>
        <w:bidi/>
        <w:spacing w:after="140" w:line="300"/>
        <w:jc w:val="right"/>
      </w:pPr>
      <w:r>
        <w:rPr>
          <w:rFonts w:ascii="David" w:cs="David" w:eastAsia="David" w:hAnsi="David"/>
          <w:sz w:val="22"/>
          <w:szCs w:val="22"/>
          <w:rtl/>
        </w:rPr>
        <w:t xml:space="preserve">14.3 </w:t>
      </w:r>
      <w:r>
        <w:rPr>
          <w:rFonts w:ascii="David" w:cs="David" w:eastAsia="David" w:hAnsi="David"/>
          <w:b/>
          <w:bCs/>
          <w:sz w:val="22"/>
          <w:szCs w:val="22"/>
          <w:rtl/>
        </w:rPr>
        <w:t xml:space="preserve">בכפוף לאמור בסעיף 14.4 להלן</w:t>
      </w:r>
      <w:r>
        <w:rPr>
          <w:rFonts w:ascii="David" w:cs="David" w:eastAsia="David" w:hAnsi="David"/>
          <w:sz w:val="22"/>
          <w:szCs w:val="22"/>
          <w:rtl/>
        </w:rPr>
        <w:t xml:space="preserve">, אחריותה הכוללת של החברה כלפי לקוח, מכל עילה שהיא (חוזית, נזיקית או אחרת) בקשר עם השירותים, לא תעלה על הסכום ששילם בפועל אותו לקוח לחברה במהלך שלושת (3) החודשים שקדמו לאירוע נשוא התביעה.</w:t>
      </w:r>
    </w:p>
    <w:p>
      <w:pPr>
        <w:bidi/>
        <w:spacing w:after="140" w:line="300"/>
        <w:jc w:val="right"/>
      </w:pPr>
      <w:r>
        <w:rPr>
          <w:rFonts w:ascii="David" w:cs="David" w:eastAsia="David" w:hAnsi="David"/>
          <w:sz w:val="22"/>
          <w:szCs w:val="22"/>
          <w:rtl/>
        </w:rPr>
        <w:t xml:space="preserve">14.4 </w:t>
      </w:r>
      <w:r>
        <w:rPr>
          <w:rFonts w:ascii="David" w:cs="David" w:eastAsia="David" w:hAnsi="David"/>
          <w:b/>
          <w:bCs/>
          <w:sz w:val="22"/>
          <w:szCs w:val="22"/>
          <w:rtl/>
        </w:rPr>
        <w:t xml:space="preserve">אין באמור בסעיפים 14.1-14.3 כדי לגרוע מ:</w:t>
      </w:r>
      <w:r>
        <w:rPr>
          <w:rFonts w:ascii="David" w:cs="David" w:eastAsia="David" w:hAnsi="David"/>
          <w:sz w:val="22"/>
          <w:szCs w:val="22"/>
          <w:rtl/>
        </w:rPr>
        <w:t xml:space="preserve"> (א) אחריות שלא ניתן להתנות עליה או להגבילה על פי חוק הגנת הצרכן או כל דין קוגנטי אחר; (ב) אחריות בגין נזק גוף; (ג) אחריות בגין רשלנות רבתי, מרמה, זדון או הפרה מכוונת של הוראות דין מצד החברה. הגבלות האחריות במסמך זה חלות במלואן ככל שמותר על פי דין, ותפורשנה באופן שיאפשר את תחולתן המרבית המותרת.</w:t>
      </w:r>
    </w:p>
    <w:p>
      <w:pPr>
        <w:bidi/>
        <w:spacing w:after="140" w:line="300"/>
        <w:jc w:val="right"/>
      </w:pPr>
      <w:r>
        <w:rPr>
          <w:rFonts w:ascii="David" w:cs="David" w:eastAsia="David" w:hAnsi="David"/>
          <w:sz w:val="22"/>
          <w:szCs w:val="22"/>
          <w:rtl/>
        </w:rPr>
        <w:t xml:space="preserve">14.5 המשתמש מצהיר כי ידוע לו שתמונות המוצרים באתר נועדו להמחשה בלבד וייתכנו הבדלים בינן לבין המוצרים הנמכרים בפועל, וכי טעות סופר או קולמוס חריגה וברורה על פניה (כגון מחיר בסכום בלתי סביר באופן קיצוני) לא תחייב את החברה.</w:t>
      </w:r>
    </w:p>
    <w:p>
      <w:pPr>
        <w:pStyle w:val="Heading1"/>
        <w:pBdr>
          <w:bottom w:val="single" w:color="999999" w:sz="6" w:space="4"/>
        </w:pBdr>
        <w:bidi/>
        <w:spacing w:after="140" w:before="280"/>
        <w:jc w:val="right"/>
      </w:pPr>
      <w:r>
        <w:rPr>
          <w:rFonts w:ascii="David" w:cs="David" w:eastAsia="David" w:hAnsi="David"/>
          <w:b/>
          <w:bCs/>
          <w:color w:val="1F3864"/>
          <w:sz w:val="27"/>
          <w:szCs w:val="27"/>
          <w:rtl/>
        </w:rPr>
        <w:t xml:space="preserve">15. שיפוי</w:t>
      </w:r>
    </w:p>
    <w:p>
      <w:pPr>
        <w:bidi/>
        <w:spacing w:after="140" w:line="300"/>
        <w:jc w:val="right"/>
      </w:pPr>
      <w:r>
        <w:rPr>
          <w:rFonts w:ascii="David" w:cs="David" w:eastAsia="David" w:hAnsi="David"/>
          <w:sz w:val="22"/>
          <w:szCs w:val="22"/>
          <w:rtl/>
        </w:rPr>
        <w:t xml:space="preserve">הלקוח ישפה את החברה, נושאי המשרה בה ועובדיה, בגין כל נזק, הפסד, הוצאה (לרבות שכ"ט עו"ד סביר) או חבות שייגרמו להם כתוצאה מהפרת הלקוח את תנאי מסמך זה או כל דין, לרבות שימוש בלתי מורשה בחשבונו — ובלבד שהחברה תודיע ללקוח על כל תביעה כאמור בהקדם סביר ותאפשר לו להתגונן מפניה. אין באמור כדי לחול על נזק שנגרם בשל מעשה או מחדל של החברה עצמה.</w:t>
      </w:r>
    </w:p>
    <w:p>
      <w:pPr>
        <w:pStyle w:val="Heading1"/>
        <w:pBdr>
          <w:bottom w:val="single" w:color="999999" w:sz="6" w:space="4"/>
        </w:pBdr>
        <w:bidi/>
        <w:spacing w:after="140" w:before="280"/>
        <w:jc w:val="right"/>
      </w:pPr>
      <w:r>
        <w:rPr>
          <w:rFonts w:ascii="David" w:cs="David" w:eastAsia="David" w:hAnsi="David"/>
          <w:b/>
          <w:bCs/>
          <w:color w:val="1F3864"/>
          <w:sz w:val="27"/>
          <w:szCs w:val="27"/>
          <w:rtl/>
        </w:rPr>
        <w:t xml:space="preserve">16. מדיניות פרטיות</w:t>
      </w:r>
    </w:p>
    <w:p>
      <w:pPr>
        <w:bidi/>
        <w:spacing w:after="140" w:line="300"/>
        <w:jc w:val="right"/>
      </w:pPr>
      <w:r>
        <w:rPr>
          <w:rFonts w:ascii="David" w:cs="David" w:eastAsia="David" w:hAnsi="David"/>
          <w:sz w:val="22"/>
          <w:szCs w:val="22"/>
          <w:rtl/>
        </w:rPr>
        <w:t xml:space="preserve">16.1 מדיניות זו מהווה חלק בלתי נפרד ממסמך זה, ומפורטת בהתאם לחוק הגנת הפרטיות, התשמ"א-1981, לרבות תיקון מס' 13 לחוק (בתוקף מאוגוסט 2025), ולכל דין רלוונטי נוסף.</w:t>
      </w:r>
    </w:p>
    <w:p>
      <w:pPr>
        <w:bidi/>
        <w:spacing w:after="140" w:line="300"/>
        <w:jc w:val="right"/>
      </w:pPr>
      <w:r>
        <w:rPr>
          <w:rFonts w:ascii="David" w:cs="David" w:eastAsia="David" w:hAnsi="David"/>
          <w:sz w:val="22"/>
          <w:szCs w:val="22"/>
          <w:rtl/>
        </w:rPr>
        <w:t xml:space="preserve">16.2 </w:t>
      </w:r>
      <w:r>
        <w:rPr>
          <w:rFonts w:ascii="David" w:cs="David" w:eastAsia="David" w:hAnsi="David"/>
          <w:b/>
          <w:bCs/>
          <w:sz w:val="22"/>
          <w:szCs w:val="22"/>
          <w:rtl/>
        </w:rPr>
        <w:t xml:space="preserve">המידע הנאסף.</w:t>
      </w:r>
      <w:r>
        <w:rPr>
          <w:rFonts w:ascii="David" w:cs="David" w:eastAsia="David" w:hAnsi="David"/>
          <w:sz w:val="22"/>
          <w:szCs w:val="22"/>
          <w:rtl/>
        </w:rPr>
        <w:t xml:space="preserve"> החברה עשויה לאסוף, במישרין מהמשתמש או באמצעות שימושו באתרים ובתוכנה: שם, מספר טלפון, כתובת דוא"ל, כתובת למשלוח, פרטי אמצעי תשלום (המעובדים כאמור בסעיף 17 להלן), פרטי רכישה, נתוני שימוש והתקדמות בתוכנה (לרבות תוצאות תרגילים ומדדי ביצוע), נתוני גלישה טכניים (כתובת IP, סוג דפדפן, מזהי מכשיר), ומידע אחר שנמסר מרצון על ידי המשתמש.</w:t>
      </w:r>
    </w:p>
    <w:p>
      <w:pPr>
        <w:bidi/>
        <w:spacing w:after="140" w:line="300"/>
        <w:jc w:val="right"/>
      </w:pPr>
      <w:r>
        <w:rPr>
          <w:rFonts w:ascii="David" w:cs="David" w:eastAsia="David" w:hAnsi="David"/>
          <w:sz w:val="22"/>
          <w:szCs w:val="22"/>
          <w:rtl/>
        </w:rPr>
        <w:t xml:space="preserve">16.3 </w:t>
      </w:r>
      <w:r>
        <w:rPr>
          <w:rFonts w:ascii="David" w:cs="David" w:eastAsia="David" w:hAnsi="David"/>
          <w:b/>
          <w:bCs/>
          <w:sz w:val="22"/>
          <w:szCs w:val="22"/>
          <w:rtl/>
        </w:rPr>
        <w:t xml:space="preserve">מטרות השימוש במידע.</w:t>
      </w:r>
      <w:r>
        <w:rPr>
          <w:rFonts w:ascii="David" w:cs="David" w:eastAsia="David" w:hAnsi="David"/>
          <w:sz w:val="22"/>
          <w:szCs w:val="22"/>
          <w:rtl/>
        </w:rPr>
        <w:t xml:space="preserve"> המידע ישמש למתן השירותים ותפעולם, ניהול המנוי והחיובים, תמיכה טכנית ושירות לקוחות, אבטחת מידע ומניעת הונאה, עמידה בדרישות דין (לרבות דיני מס וכספים), שיפור השירות ומחקר פנימי, וכן לדיוור ולשיווק — בכפוף לקבלת הסכמה נפרדת כאמור בסעיף 16.9 להלן.</w:t>
      </w:r>
    </w:p>
    <w:p>
      <w:pPr>
        <w:bidi/>
        <w:spacing w:after="140" w:line="300"/>
        <w:jc w:val="right"/>
      </w:pPr>
      <w:r>
        <w:rPr>
          <w:rFonts w:ascii="David" w:cs="David" w:eastAsia="David" w:hAnsi="David"/>
          <w:sz w:val="22"/>
          <w:szCs w:val="22"/>
          <w:rtl/>
        </w:rPr>
        <w:t xml:space="preserve">16.4 </w:t>
      </w:r>
      <w:r>
        <w:rPr>
          <w:rFonts w:ascii="David" w:cs="David" w:eastAsia="David" w:hAnsi="David"/>
          <w:b/>
          <w:bCs/>
          <w:sz w:val="22"/>
          <w:szCs w:val="22"/>
          <w:rtl/>
        </w:rPr>
        <w:t xml:space="preserve">בסיס משפטי ומידתיות.</w:t>
      </w:r>
      <w:r>
        <w:rPr>
          <w:rFonts w:ascii="David" w:cs="David" w:eastAsia="David" w:hAnsi="David"/>
          <w:sz w:val="22"/>
          <w:szCs w:val="22"/>
          <w:rtl/>
        </w:rPr>
        <w:t xml:space="preserve"> החברה לא תעשה שימוש במידע מעבר לנדרש למטרות שלשמן נאסף, ותפעל לצמצום היקף המידע הנאסף למידה הנדרשת למתן השירות.</w:t>
      </w:r>
    </w:p>
    <w:p>
      <w:pPr>
        <w:bidi/>
        <w:spacing w:after="140" w:line="300"/>
        <w:jc w:val="right"/>
      </w:pPr>
      <w:r>
        <w:rPr>
          <w:rFonts w:ascii="David" w:cs="David" w:eastAsia="David" w:hAnsi="David"/>
          <w:sz w:val="22"/>
          <w:szCs w:val="22"/>
          <w:rtl/>
        </w:rPr>
        <w:t xml:space="preserve">16.5 </w:t>
      </w:r>
      <w:r>
        <w:rPr>
          <w:rFonts w:ascii="David" w:cs="David" w:eastAsia="David" w:hAnsi="David"/>
          <w:b/>
          <w:bCs/>
          <w:sz w:val="22"/>
          <w:szCs w:val="22"/>
          <w:rtl/>
        </w:rPr>
        <w:t xml:space="preserve">שמירת מידע.</w:t>
      </w:r>
      <w:r>
        <w:rPr>
          <w:rFonts w:ascii="David" w:cs="David" w:eastAsia="David" w:hAnsi="David"/>
          <w:sz w:val="22"/>
          <w:szCs w:val="22"/>
          <w:rtl/>
        </w:rPr>
        <w:t xml:space="preserve"> החברה תשמור את המידע האישי במאגריה למשך הזמן הנדרש למימוש המטרות שלשמן נאסף ובהתאם לחובות שמירה הקבועות בדין (למשל מסמכים חשבונאיים), ולאחר מכן תמחק אותו או תהפוך אותו לאנונימי, אלא אם נדרשת שמירתו לשם הליך משפטי תלוי ועומד.</w:t>
      </w:r>
    </w:p>
    <w:p>
      <w:pPr>
        <w:bidi/>
        <w:spacing w:after="140" w:line="300"/>
        <w:jc w:val="right"/>
      </w:pPr>
      <w:r>
        <w:rPr>
          <w:rFonts w:ascii="David" w:cs="David" w:eastAsia="David" w:hAnsi="David"/>
          <w:sz w:val="22"/>
          <w:szCs w:val="22"/>
          <w:rtl/>
        </w:rPr>
        <w:t xml:space="preserve">16.6 </w:t>
      </w:r>
      <w:r>
        <w:rPr>
          <w:rFonts w:ascii="David" w:cs="David" w:eastAsia="David" w:hAnsi="David"/>
          <w:b/>
          <w:bCs/>
          <w:sz w:val="22"/>
          <w:szCs w:val="22"/>
          <w:rtl/>
        </w:rPr>
        <w:t xml:space="preserve">העברת מידע לצדדים שלישיים.</w:t>
      </w:r>
      <w:r>
        <w:rPr>
          <w:rFonts w:ascii="David" w:cs="David" w:eastAsia="David" w:hAnsi="David"/>
          <w:sz w:val="22"/>
          <w:szCs w:val="22"/>
          <w:rtl/>
        </w:rPr>
        <w:t xml:space="preserve"> החברה רשאית להעביר מידע לספקי שירות מטעמה הפועלים עבורה, ובכלל זה: חברת הסליקה, ספקי אחסון ענן, ספקי שירותי תמיכה ותפעול, וגורמים המסייעים בניתוח נתונים (כגון Google Analytics) — וזאת אך ורק לצורך מתן השירותים, ובכפוף להתחייבותם לשמור על סודיות המידע ואבטחתו. החברה לא תמכור מידע אישי מזוהה לצד שלישי לשימוש עצמאי שלו, למעט בכפוף לדין ולהעברת מידע במסגרת שינוי מבני בחברה (מיזוג, רכישה) ובכפוף להתחייבות הנעבר לתנאי מדיניות זו.</w:t>
      </w:r>
    </w:p>
    <w:p>
      <w:pPr>
        <w:bidi/>
        <w:spacing w:after="140" w:line="300"/>
        <w:jc w:val="right"/>
      </w:pPr>
      <w:r>
        <w:rPr>
          <w:rFonts w:ascii="David" w:cs="David" w:eastAsia="David" w:hAnsi="David"/>
          <w:sz w:val="22"/>
          <w:szCs w:val="22"/>
          <w:rtl/>
        </w:rPr>
        <w:t xml:space="preserve">16.7 </w:t>
      </w:r>
      <w:r>
        <w:rPr>
          <w:rFonts w:ascii="David" w:cs="David" w:eastAsia="David" w:hAnsi="David"/>
          <w:b/>
          <w:bCs/>
          <w:sz w:val="22"/>
          <w:szCs w:val="22"/>
          <w:rtl/>
        </w:rPr>
        <w:t xml:space="preserve">מידע על קטינים.</w:t>
      </w:r>
      <w:r>
        <w:rPr>
          <w:rFonts w:ascii="David" w:cs="David" w:eastAsia="David" w:hAnsi="David"/>
          <w:sz w:val="22"/>
          <w:szCs w:val="22"/>
          <w:rtl/>
        </w:rPr>
        <w:t xml:space="preserve"> ככל שהתוכנה משמשת קטין (במסגרת מנוי משפחתי או מוסדי), האחריות למתן ההסכמות הנדרשות בדין למסירת מידע אודות הקטין חלה על ההורה/האפוטרופוס או על המוסד החינוכי, לפי העניין, בהתאם לסעיף 12 לעיל.</w:t>
      </w:r>
    </w:p>
    <w:p>
      <w:pPr>
        <w:bidi/>
        <w:spacing w:after="140" w:line="300"/>
        <w:jc w:val="right"/>
      </w:pPr>
      <w:r>
        <w:rPr>
          <w:rFonts w:ascii="David" w:cs="David" w:eastAsia="David" w:hAnsi="David"/>
          <w:sz w:val="22"/>
          <w:szCs w:val="22"/>
          <w:rtl/>
        </w:rPr>
        <w:t xml:space="preserve">16.8 </w:t>
      </w:r>
      <w:r>
        <w:rPr>
          <w:rFonts w:ascii="David" w:cs="David" w:eastAsia="David" w:hAnsi="David"/>
          <w:b/>
          <w:bCs/>
          <w:sz w:val="22"/>
          <w:szCs w:val="22"/>
          <w:rtl/>
        </w:rPr>
        <w:t xml:space="preserve">אבטחת מידע.</w:t>
      </w:r>
      <w:r>
        <w:rPr>
          <w:rFonts w:ascii="David" w:cs="David" w:eastAsia="David" w:hAnsi="David"/>
          <w:sz w:val="22"/>
          <w:szCs w:val="22"/>
          <w:rtl/>
        </w:rPr>
        <w:t xml:space="preserve"> החברה נוקטת אמצעי אבטחת מידע מקובלים בענף (לרבות הצפנה בהעברת נתונים, בקרת גישה והפרדת סביבות) להגנה על המידע במאגריה. עם זאת, אין באפשרותה להבטיח חסינות מוחלטת מפני חדירה בלתי מורשית, תקלות תקשורת או אירועי סייבר. אירע אירוע אבטחת מידע המחייב דיווח על פי דין, תפעל החברה לדיווח לרשות להגנת הפרטיות ולמשתמשים הרלוונטיים בהתאם להוראות חוק הגנת הפרטיות.</w:t>
      </w:r>
    </w:p>
    <w:p>
      <w:pPr>
        <w:bidi/>
        <w:spacing w:after="140" w:line="300"/>
        <w:jc w:val="right"/>
      </w:pPr>
      <w:r>
        <w:rPr>
          <w:rFonts w:ascii="David" w:cs="David" w:eastAsia="David" w:hAnsi="David"/>
          <w:sz w:val="22"/>
          <w:szCs w:val="22"/>
          <w:rtl/>
        </w:rPr>
        <w:t xml:space="preserve">16.9 </w:t>
      </w:r>
      <w:r>
        <w:rPr>
          <w:rFonts w:ascii="David" w:cs="David" w:eastAsia="David" w:hAnsi="David"/>
          <w:b/>
          <w:bCs/>
          <w:sz w:val="22"/>
          <w:szCs w:val="22"/>
          <w:rtl/>
        </w:rPr>
        <w:t xml:space="preserve">הסכמה לדיוור ישיר ולפרסום.</w:t>
      </w:r>
      <w:r>
        <w:rPr>
          <w:rFonts w:ascii="David" w:cs="David" w:eastAsia="David" w:hAnsi="David"/>
          <w:sz w:val="22"/>
          <w:szCs w:val="22"/>
          <w:rtl/>
        </w:rPr>
        <w:t xml:space="preserve"> במעמד ההרשמה או ביצוע ההזמנה יוצג למשתמש, באופן נפרד ובלתי-מסומן מראש, אישור לקבלת הודעות שיווקיות ופרסומיות מהחברה. הסכמה זו נפרדת מההסכמה לתנאי השימוש ואינה תנאי לרכישת השירות. משתמש רשאי בכל עת לבטל את הסכמתו לקבלת דברי פרסומת, באמצעות קישור "הסרה" המופיע בתחתית כל הודעה שיווקית, או בפנייה לכתובת havinoti214@gmail.com, בהתאם לסעיף 30א לחוק התקשורת (בזק ושידורים), התשמ"ב-1982.</w:t>
      </w:r>
    </w:p>
    <w:p>
      <w:pPr>
        <w:bidi/>
        <w:spacing w:after="140" w:line="300"/>
        <w:jc w:val="right"/>
      </w:pPr>
      <w:r>
        <w:rPr>
          <w:rFonts w:ascii="David" w:cs="David" w:eastAsia="David" w:hAnsi="David"/>
          <w:sz w:val="22"/>
          <w:szCs w:val="22"/>
          <w:rtl/>
        </w:rPr>
        <w:t xml:space="preserve">16.10 </w:t>
      </w:r>
      <w:r>
        <w:rPr>
          <w:rFonts w:ascii="David" w:cs="David" w:eastAsia="David" w:hAnsi="David"/>
          <w:b/>
          <w:bCs/>
          <w:sz w:val="22"/>
          <w:szCs w:val="22"/>
          <w:rtl/>
        </w:rPr>
        <w:t xml:space="preserve">עוגיות (Cookies) וכלי ניתוח.</w:t>
      </w:r>
      <w:r>
        <w:rPr>
          <w:rFonts w:ascii="David" w:cs="David" w:eastAsia="David" w:hAnsi="David"/>
          <w:sz w:val="22"/>
          <w:szCs w:val="22"/>
          <w:rtl/>
        </w:rPr>
        <w:t xml:space="preserve"> האתרים עושים שימוש בעוגיות ובטכנולוגיות דומות, לרבות עוגיות חיוניות (להפעלת האתר ואבטחתו), עוגיות תפקודיות, ועוגיות אנליטיות וסטטיסטיות באמצעות Google Analytics, לצורך ניתוח דפוסי שימוש ושיפור השירות. ניתן לחסום או למחוק עוגיות באמצעות הגדרות הדפדפן, אולם הדבר עלול לפגוע בתפקוד חלק מהשירותים.</w:t>
      </w:r>
    </w:p>
    <w:p>
      <w:pPr>
        <w:bidi/>
        <w:spacing w:after="140" w:line="300"/>
        <w:jc w:val="right"/>
      </w:pPr>
      <w:r>
        <w:rPr>
          <w:rFonts w:ascii="David" w:cs="David" w:eastAsia="David" w:hAnsi="David"/>
          <w:sz w:val="22"/>
          <w:szCs w:val="22"/>
          <w:rtl/>
        </w:rPr>
        <w:t xml:space="preserve">16.11 </w:t>
      </w:r>
      <w:r>
        <w:rPr>
          <w:rFonts w:ascii="David" w:cs="David" w:eastAsia="David" w:hAnsi="David"/>
          <w:b/>
          <w:bCs/>
          <w:sz w:val="22"/>
          <w:szCs w:val="22"/>
          <w:rtl/>
        </w:rPr>
        <w:t xml:space="preserve">זכויות המשתמש במידע.</w:t>
      </w:r>
      <w:r>
        <w:rPr>
          <w:rFonts w:ascii="David" w:cs="David" w:eastAsia="David" w:hAnsi="David"/>
          <w:sz w:val="22"/>
          <w:szCs w:val="22"/>
          <w:rtl/>
        </w:rPr>
        <w:t xml:space="preserve"> בהתאם לחוק הגנת הפרטיות, רשאי משתמש: לעיין במידע אודותיו המוחזק במאגרי החברה; לבקש את תיקונו אם אינו נכון, שלם או מעודכן; ולבקש את מחיקתו, בכפוף לחובות שמירה על פי דין. פניה כאמור תיעשה לכתובת havinoti214@gmail.com, והחברה תשיב לה בתוך זמן סביר ולא יאוחר מ-30 ימים.</w:t>
      </w:r>
    </w:p>
    <w:p>
      <w:pPr>
        <w:bidi/>
        <w:spacing w:after="140" w:line="300"/>
        <w:jc w:val="right"/>
      </w:pPr>
      <w:r>
        <w:rPr>
          <w:rFonts w:ascii="David" w:cs="David" w:eastAsia="David" w:hAnsi="David"/>
          <w:sz w:val="22"/>
          <w:szCs w:val="22"/>
          <w:rtl/>
        </w:rPr>
        <w:t xml:space="preserve">16.12 </w:t>
      </w:r>
      <w:r>
        <w:rPr>
          <w:rFonts w:ascii="David" w:cs="David" w:eastAsia="David" w:hAnsi="David"/>
          <w:b/>
          <w:bCs/>
          <w:sz w:val="22"/>
          <w:szCs w:val="22"/>
          <w:rtl/>
        </w:rPr>
        <w:t xml:space="preserve">שינויים במדיניות הפרטיות.</w:t>
      </w:r>
      <w:r>
        <w:rPr>
          <w:rFonts w:ascii="David" w:cs="David" w:eastAsia="David" w:hAnsi="David"/>
          <w:sz w:val="22"/>
          <w:szCs w:val="22"/>
          <w:rtl/>
        </w:rPr>
        <w:t xml:space="preserve"> החברה רשאית לעדכן מדיניות זו מעת לעת. שינוי מהותי יפורסם באתרים ויכנס לתוקף בחלוף פרק זמן סביר ממועד הפרסום.</w:t>
      </w:r>
    </w:p>
    <w:p>
      <w:pPr>
        <w:pStyle w:val="Heading1"/>
        <w:pBdr>
          <w:bottom w:val="single" w:color="999999" w:sz="6" w:space="4"/>
        </w:pBdr>
        <w:bidi/>
        <w:spacing w:after="140" w:before="280"/>
        <w:jc w:val="right"/>
      </w:pPr>
      <w:r>
        <w:rPr>
          <w:rFonts w:ascii="David" w:cs="David" w:eastAsia="David" w:hAnsi="David"/>
          <w:b/>
          <w:bCs/>
          <w:color w:val="1F3864"/>
          <w:sz w:val="27"/>
          <w:szCs w:val="27"/>
          <w:rtl/>
        </w:rPr>
        <w:t xml:space="preserve">17. אבטחת תשלומים וסליקת אשראי</w:t>
      </w:r>
    </w:p>
    <w:p>
      <w:pPr>
        <w:bidi/>
        <w:spacing w:after="140" w:line="300"/>
        <w:jc w:val="right"/>
      </w:pPr>
      <w:r>
        <w:rPr>
          <w:rFonts w:ascii="David" w:cs="David" w:eastAsia="David" w:hAnsi="David"/>
          <w:sz w:val="22"/>
          <w:szCs w:val="22"/>
          <w:rtl/>
        </w:rPr>
        <w:t xml:space="preserve">17.1 סליקת התשלומים באתר havinoti.co.il מתבצעת באמצעות חברת סליקה מורשית, העומדת בתקן אבטחת המידע PCI-DSS. פרטי כרטיס האשראי המלאים אינם נשמרים על גבי שרתי החברה, אלא מועברים ומעובדים ישירות מול חברת הסליקה בערוץ מוצפן.</w:t>
      </w:r>
    </w:p>
    <w:p>
      <w:pPr>
        <w:bidi/>
        <w:spacing w:after="140" w:line="300"/>
        <w:jc w:val="right"/>
      </w:pPr>
      <w:r>
        <w:rPr>
          <w:rFonts w:ascii="David" w:cs="David" w:eastAsia="David" w:hAnsi="David"/>
          <w:sz w:val="22"/>
          <w:szCs w:val="22"/>
          <w:rtl/>
        </w:rPr>
        <w:t xml:space="preserve">17.2 עבור כל עסקה תונפק ללקוח חשבונית מס/קבלה כדין, אשר תישלח לכתובת הדוא"ל שמסר.</w:t>
      </w:r>
    </w:p>
    <w:p>
      <w:pPr>
        <w:bidi/>
        <w:spacing w:after="140" w:line="300"/>
        <w:jc w:val="right"/>
      </w:pPr>
      <w:r>
        <w:rPr>
          <w:rFonts w:ascii="David" w:cs="David" w:eastAsia="David" w:hAnsi="David"/>
          <w:sz w:val="22"/>
          <w:szCs w:val="22"/>
          <w:rtl/>
        </w:rPr>
        <w:t xml:space="preserve">17.3 בכל מקרה של חיוב שגוי, חשד להונאה, או מחלוקת (chargeback), רשאי הלקוח לפנות לשירות הלקוחות של החברה לבירור, וכן עומדת לו הזכות לפנות ישירות לחברת האשראי המנפיקה בהתאם לנהליה.</w:t>
      </w:r>
    </w:p>
    <w:p>
      <w:pPr>
        <w:bidi/>
        <w:spacing w:after="140" w:line="300"/>
        <w:jc w:val="right"/>
      </w:pPr>
      <w:r>
        <w:rPr>
          <w:rFonts w:ascii="David" w:cs="David" w:eastAsia="David" w:hAnsi="David"/>
          <w:sz w:val="22"/>
          <w:szCs w:val="22"/>
          <w:rtl/>
        </w:rPr>
        <w:t xml:space="preserve">17.4 החברה שומרת לעצמה את הזכות לדרוש אסמכתאות נוספות לאימות זהות בעל כרטיס האשראי כתנאי לאישור עסקה או לאספקת מוצר/שירות, וזאת למניעת הונאה.</w:t>
      </w:r>
    </w:p>
    <w:p>
      <w:pPr>
        <w:pStyle w:val="Heading1"/>
        <w:pBdr>
          <w:bottom w:val="single" w:color="999999" w:sz="6" w:space="4"/>
        </w:pBdr>
        <w:bidi/>
        <w:spacing w:after="140" w:before="280"/>
        <w:jc w:val="right"/>
      </w:pPr>
      <w:r>
        <w:rPr>
          <w:rFonts w:ascii="David" w:cs="David" w:eastAsia="David" w:hAnsi="David"/>
          <w:b/>
          <w:bCs/>
          <w:color w:val="1F3864"/>
          <w:sz w:val="27"/>
          <w:szCs w:val="27"/>
          <w:rtl/>
        </w:rPr>
        <w:t xml:space="preserve">18. נגישות</w:t>
      </w:r>
    </w:p>
    <w:p>
      <w:pPr>
        <w:bidi/>
        <w:spacing w:after="140" w:line="300"/>
        <w:jc w:val="right"/>
      </w:pPr>
      <w:r>
        <w:rPr>
          <w:rFonts w:ascii="David" w:cs="David" w:eastAsia="David" w:hAnsi="David"/>
          <w:sz w:val="22"/>
          <w:szCs w:val="22"/>
          <w:rtl/>
        </w:rPr>
        <w:t xml:space="preserve">18.1 החברה פועלת לשיפור נגישות האתרים לאנשים עם מוגבלות בהתאם לחוק שוויון זכויות לאנשים עם מוגבלות, התשנ"ח-1998, לתקנות נגישות השירות ולתקן הישראלי ת"י 5568.</w:t>
      </w:r>
    </w:p>
    <w:p>
      <w:pPr>
        <w:bidi/>
        <w:spacing w:after="140" w:line="300"/>
        <w:jc w:val="right"/>
      </w:pPr>
      <w:r>
        <w:rPr>
          <w:rFonts w:ascii="David" w:cs="David" w:eastAsia="David" w:hAnsi="David"/>
          <w:sz w:val="22"/>
          <w:szCs w:val="22"/>
          <w:rtl/>
        </w:rPr>
        <w:t xml:space="preserve">18.2 הצהרת נגישות מפורטת, לרבות פרטי רכז הנגישות ואמצעי יצירת קשר לפניות בנושא נגישות, מפורסמת בעמוד נפרד באתר ("הצהרת נגישות").</w:t>
      </w:r>
    </w:p>
    <w:p>
      <w:pPr>
        <w:bidi/>
        <w:spacing w:after="140" w:line="300"/>
        <w:jc w:val="right"/>
      </w:pPr>
      <w:r>
        <w:rPr>
          <w:rFonts w:ascii="David" w:cs="David" w:eastAsia="David" w:hAnsi="David"/>
          <w:sz w:val="22"/>
          <w:szCs w:val="22"/>
          <w:rtl/>
        </w:rPr>
        <w:t xml:space="preserve">18.3 נתקל משתמש בבעיית נגישות באתרים, מוזמן לפנות לרכז הנגישות בפרטים המופיעים בהצהרת הנגישות, והחברה תפעל לתיקון הליקוי בפרק זמן סביר.</w:t>
      </w:r>
    </w:p>
    <w:p>
      <w:pPr>
        <w:pStyle w:val="Heading1"/>
        <w:pBdr>
          <w:bottom w:val="single" w:color="999999" w:sz="6" w:space="4"/>
        </w:pBdr>
        <w:bidi/>
        <w:spacing w:after="140" w:before="280"/>
        <w:jc w:val="right"/>
      </w:pPr>
      <w:r>
        <w:rPr>
          <w:rFonts w:ascii="David" w:cs="David" w:eastAsia="David" w:hAnsi="David"/>
          <w:b/>
          <w:bCs/>
          <w:color w:val="1F3864"/>
          <w:sz w:val="27"/>
          <w:szCs w:val="27"/>
          <w:rtl/>
        </w:rPr>
        <w:t xml:space="preserve">19. יישוב סכסוכים ודין חל</w:t>
      </w:r>
    </w:p>
    <w:p>
      <w:pPr>
        <w:bidi/>
        <w:spacing w:after="140" w:line="300"/>
        <w:jc w:val="right"/>
      </w:pPr>
      <w:r>
        <w:rPr>
          <w:rFonts w:ascii="David" w:cs="David" w:eastAsia="David" w:hAnsi="David"/>
          <w:sz w:val="22"/>
          <w:szCs w:val="22"/>
          <w:rtl/>
        </w:rPr>
        <w:t xml:space="preserve">19.1 על מסמך זה, על התוכנה ועל השימוש בה יחולו דיני מדינת ישראל.</w:t>
      </w:r>
    </w:p>
    <w:p>
      <w:pPr>
        <w:bidi/>
        <w:spacing w:after="140" w:line="300"/>
        <w:jc w:val="right"/>
      </w:pPr>
      <w:r>
        <w:rPr>
          <w:rFonts w:ascii="David" w:cs="David" w:eastAsia="David" w:hAnsi="David"/>
          <w:sz w:val="22"/>
          <w:szCs w:val="22"/>
          <w:rtl/>
        </w:rPr>
        <w:t xml:space="preserve">19.2 הצדדים יפעלו ליישב כל מחלוקת בדרכי שלום ובתום לב. </w:t>
      </w:r>
      <w:r>
        <w:rPr>
          <w:rFonts w:ascii="David" w:cs="David" w:eastAsia="David" w:hAnsi="David"/>
          <w:b/>
          <w:bCs/>
          <w:sz w:val="22"/>
          <w:szCs w:val="22"/>
          <w:rtl/>
        </w:rPr>
        <w:t xml:space="preserve">מבלי לגרוע מכל זכות קוגנטית העומדת ללקוח על פי דין, לרבות הזכות לפנות בכל עת לערכאות השיפוט המוסמכות בישראל</w:t>
      </w:r>
      <w:r>
        <w:rPr>
          <w:rFonts w:ascii="David" w:cs="David" w:eastAsia="David" w:hAnsi="David"/>
          <w:sz w:val="22"/>
          <w:szCs w:val="22"/>
          <w:rtl/>
        </w:rPr>
        <w:t xml:space="preserve">, החברה והלקוח רשאים להסכים, מרצון, להביא מחלוקת ביניהם להכרעת בית הדין בבני ברק מיסודו של מרן הגר"נ קרליץ זצ"ל, על פי כללי הבוררות המקובלים בו.</w:t>
      </w:r>
    </w:p>
    <w:p>
      <w:pPr>
        <w:bidi/>
        <w:spacing w:after="140" w:line="300"/>
        <w:jc w:val="right"/>
      </w:pPr>
      <w:r>
        <w:rPr>
          <w:rFonts w:ascii="David" w:cs="David" w:eastAsia="David" w:hAnsi="David"/>
          <w:sz w:val="22"/>
          <w:szCs w:val="22"/>
          <w:rtl/>
        </w:rPr>
        <w:t xml:space="preserve">19.3 מובהר כי אין בסעיף 19.2 כדי לשלול או להגביל את זכות הלקוח, כצרכן, לפנות לבית משפט מוסמך או לכל ערכאה מוסמכת אחרת על פי דין, ואין בו כדי לגרוע מתוקפה של כל הוראת דין קוגנטית להגנת הצרכן.</w:t>
      </w:r>
    </w:p>
    <w:p>
      <w:pPr>
        <w:pStyle w:val="Heading1"/>
        <w:pBdr>
          <w:bottom w:val="single" w:color="999999" w:sz="6" w:space="4"/>
        </w:pBdr>
        <w:bidi/>
        <w:spacing w:after="140" w:before="280"/>
        <w:jc w:val="right"/>
      </w:pPr>
      <w:r>
        <w:rPr>
          <w:rFonts w:ascii="David" w:cs="David" w:eastAsia="David" w:hAnsi="David"/>
          <w:b/>
          <w:bCs/>
          <w:color w:val="1F3864"/>
          <w:sz w:val="27"/>
          <w:szCs w:val="27"/>
          <w:rtl/>
        </w:rPr>
        <w:t xml:space="preserve">20. שונות</w:t>
      </w:r>
    </w:p>
    <w:p>
      <w:pPr>
        <w:bidi/>
        <w:spacing w:after="140" w:line="300"/>
        <w:jc w:val="right"/>
      </w:pPr>
      <w:r>
        <w:rPr>
          <w:rFonts w:ascii="David" w:cs="David" w:eastAsia="David" w:hAnsi="David"/>
          <w:sz w:val="22"/>
          <w:szCs w:val="22"/>
          <w:rtl/>
        </w:rPr>
        <w:t xml:space="preserve">20.1 </w:t>
      </w:r>
      <w:r>
        <w:rPr>
          <w:rFonts w:ascii="David" w:cs="David" w:eastAsia="David" w:hAnsi="David"/>
          <w:b/>
          <w:bCs/>
          <w:sz w:val="22"/>
          <w:szCs w:val="22"/>
          <w:rtl/>
        </w:rPr>
        <w:t xml:space="preserve">שינויים בתנאים.</w:t>
      </w:r>
      <w:r>
        <w:rPr>
          <w:rFonts w:ascii="David" w:cs="David" w:eastAsia="David" w:hAnsi="David"/>
          <w:sz w:val="22"/>
          <w:szCs w:val="22"/>
          <w:rtl/>
        </w:rPr>
        <w:t xml:space="preserve"> החברה רשאית לעדכן מסמך זה מעת לעת. שינוי מהותי יפורסם באתרים בהודעה נראית לעין, ויחול על עסקאות שתיעשנה החל ממועד פרסומו; לא יחול למפרע על עסקאות קודמות שבוצעו לפי הנוסח הקודם, אלא אם נדרש אחרת מכוח דין.</w:t>
      </w:r>
    </w:p>
    <w:p>
      <w:pPr>
        <w:bidi/>
        <w:spacing w:after="140" w:line="300"/>
        <w:jc w:val="right"/>
      </w:pPr>
      <w:r>
        <w:rPr>
          <w:rFonts w:ascii="David" w:cs="David" w:eastAsia="David" w:hAnsi="David"/>
          <w:sz w:val="22"/>
          <w:szCs w:val="22"/>
          <w:rtl/>
        </w:rPr>
        <w:t xml:space="preserve">20.2 </w:t>
      </w:r>
      <w:r>
        <w:rPr>
          <w:rFonts w:ascii="David" w:cs="David" w:eastAsia="David" w:hAnsi="David"/>
          <w:b/>
          <w:bCs/>
          <w:sz w:val="22"/>
          <w:szCs w:val="22"/>
          <w:rtl/>
        </w:rPr>
        <w:t xml:space="preserve">הפרדות.</w:t>
      </w:r>
      <w:r>
        <w:rPr>
          <w:rFonts w:ascii="David" w:cs="David" w:eastAsia="David" w:hAnsi="David"/>
          <w:sz w:val="22"/>
          <w:szCs w:val="22"/>
          <w:rtl/>
        </w:rPr>
        <w:t xml:space="preserve"> נמצא סעיף מהוראות מסמך זה בלתי תקף או בלתי אכיף, לא יהיה בכך כדי לפגוע בתוקף יתר הוראות המסמך, ויתפרש הסעיף הרלוונטי באופן שישיג את תכליתו במידה המרבית המותרת על פי דין.</w:t>
      </w:r>
    </w:p>
    <w:p>
      <w:pPr>
        <w:bidi/>
        <w:spacing w:after="140" w:line="300"/>
        <w:jc w:val="right"/>
      </w:pPr>
      <w:r>
        <w:rPr>
          <w:rFonts w:ascii="David" w:cs="David" w:eastAsia="David" w:hAnsi="David"/>
          <w:sz w:val="22"/>
          <w:szCs w:val="22"/>
          <w:rtl/>
        </w:rPr>
        <w:t xml:space="preserve">20.3 </w:t>
      </w:r>
      <w:r>
        <w:rPr>
          <w:rFonts w:ascii="David" w:cs="David" w:eastAsia="David" w:hAnsi="David"/>
          <w:b/>
          <w:bCs/>
          <w:sz w:val="22"/>
          <w:szCs w:val="22"/>
          <w:rtl/>
        </w:rPr>
        <w:t xml:space="preserve">ויתור.</w:t>
      </w:r>
      <w:r>
        <w:rPr>
          <w:rFonts w:ascii="David" w:cs="David" w:eastAsia="David" w:hAnsi="David"/>
          <w:sz w:val="22"/>
          <w:szCs w:val="22"/>
          <w:rtl/>
        </w:rPr>
        <w:t xml:space="preserve"> אי מימוש זכות על ידי החברה במקרה מסוים לא ייחשב כוויתור עליה במקרה אחר.</w:t>
      </w:r>
    </w:p>
    <w:p>
      <w:pPr>
        <w:bidi/>
        <w:spacing w:after="140" w:line="300"/>
        <w:jc w:val="right"/>
      </w:pPr>
      <w:r>
        <w:rPr>
          <w:rFonts w:ascii="David" w:cs="David" w:eastAsia="David" w:hAnsi="David"/>
          <w:sz w:val="22"/>
          <w:szCs w:val="22"/>
          <w:rtl/>
        </w:rPr>
        <w:t xml:space="preserve">20.4 </w:t>
      </w:r>
      <w:r>
        <w:rPr>
          <w:rFonts w:ascii="David" w:cs="David" w:eastAsia="David" w:hAnsi="David"/>
          <w:b/>
          <w:bCs/>
          <w:sz w:val="22"/>
          <w:szCs w:val="22"/>
          <w:rtl/>
        </w:rPr>
        <w:t xml:space="preserve">המחאה.</w:t>
      </w:r>
      <w:r>
        <w:rPr>
          <w:rFonts w:ascii="David" w:cs="David" w:eastAsia="David" w:hAnsi="David"/>
          <w:sz w:val="22"/>
          <w:szCs w:val="22"/>
          <w:rtl/>
        </w:rPr>
        <w:t xml:space="preserve"> הלקוח אינו רשאי להמחות את זכויותיו וחובותיו לפי מסמך זה לצד שלישי ללא הסכמת החברה בכתב. החברה רשאית להמחות את זכויותיה לפי מסמך זה, כולן או חלקן, ובלבד שלא תיפגענה זכויות הלקוח המהותיות.</w:t>
      </w:r>
    </w:p>
    <w:p>
      <w:pPr>
        <w:bidi/>
        <w:spacing w:after="140" w:line="300"/>
        <w:jc w:val="right"/>
      </w:pPr>
      <w:r>
        <w:rPr>
          <w:rFonts w:ascii="David" w:cs="David" w:eastAsia="David" w:hAnsi="David"/>
          <w:sz w:val="22"/>
          <w:szCs w:val="22"/>
          <w:rtl/>
        </w:rPr>
        <w:t xml:space="preserve">20.5 </w:t>
      </w:r>
      <w:r>
        <w:rPr>
          <w:rFonts w:ascii="David" w:cs="David" w:eastAsia="David" w:hAnsi="David"/>
          <w:b/>
          <w:bCs/>
          <w:sz w:val="22"/>
          <w:szCs w:val="22"/>
          <w:rtl/>
        </w:rPr>
        <w:t xml:space="preserve">שלמות ההסכם.</w:t>
      </w:r>
      <w:r>
        <w:rPr>
          <w:rFonts w:ascii="David" w:cs="David" w:eastAsia="David" w:hAnsi="David"/>
          <w:sz w:val="22"/>
          <w:szCs w:val="22"/>
          <w:rtl/>
        </w:rPr>
        <w:t xml:space="preserve"> מסמך זה, על נספחיו, מהווה את מלוא ההסכמות בין הצדדים בעניינים הנדונים בו, ומחליף כל מצג, הבנה או הסכמה קודמים, בכתב או בעל פה, בנושאים אלה.</w:t>
      </w:r>
    </w:p>
    <w:p>
      <w:pPr>
        <w:bidi/>
        <w:spacing w:after="140" w:line="300"/>
        <w:jc w:val="right"/>
      </w:pPr>
      <w:r>
        <w:rPr>
          <w:rFonts w:ascii="David" w:cs="David" w:eastAsia="David" w:hAnsi="David"/>
          <w:sz w:val="22"/>
          <w:szCs w:val="22"/>
          <w:rtl/>
        </w:rPr>
        <w:t xml:space="preserve">20.6 </w:t>
      </w:r>
      <w:r>
        <w:rPr>
          <w:rFonts w:ascii="David" w:cs="David" w:eastAsia="David" w:hAnsi="David"/>
          <w:b/>
          <w:bCs/>
          <w:sz w:val="22"/>
          <w:szCs w:val="22"/>
          <w:rtl/>
        </w:rPr>
        <w:t xml:space="preserve">פניות.</w:t>
      </w:r>
      <w:r>
        <w:rPr>
          <w:rFonts w:ascii="David" w:cs="David" w:eastAsia="David" w:hAnsi="David"/>
          <w:sz w:val="22"/>
          <w:szCs w:val="22"/>
          <w:rtl/>
        </w:rPr>
        <w:t xml:space="preserve"> כל פניה בקשר למסמך זה תיעשה לכתובת: הבינותי בע"מ, הרב עוזיאל 15, בני ברק; טלפון: 03-3818980; דוא"ל: havinoti214@gmail.com.</w:t>
      </w:r>
    </w:p>
    <w:p>
      <w:pPr>
        <w:bidi/>
        <w:spacing w:after="140" w:line="300"/>
        <w:jc w:val="right"/>
      </w:pPr>
      <w:r>
        <w:rPr>
          <w:rFonts w:ascii="David" w:cs="David" w:eastAsia="David" w:hAnsi="David"/>
          <w:sz w:val="22"/>
          <w:szCs w:val="22"/>
          <w:rtl/>
        </w:rPr>
        <w:t xml:space="preserve">קניה מהנה!</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David" w:cs="David" w:eastAsia="David" w:hAnsi="David"/>
        <w:sz w:val="16"/>
        <w:szCs w:val="16"/>
        <w:rtl/>
      </w:rPr>
      <w:t xml:space="preserve">הבינותי בע"מ, ח.פ. 516628385 | עמוד </w:t>
    </w:r>
    <w:r>
      <w:rPr>
        <w:rFonts w:ascii="David" w:cs="David" w:eastAsia="David" w:hAnsi="David"/>
        <w:sz w:val="16"/>
        <w:szCs w:val="16"/>
      </w:rPr>
      <w:fldChar w:fldCharType="begin"/>
      <w:instrText xml:space="preserve">PAGE</w:instrText>
      <w:fldChar w:fldCharType="separate"/>
      <w:fldChar w:fldCharType="end"/>
    </w:r>
    <w:r>
      <w:rPr>
        <w:rFonts w:ascii="David" w:cs="David" w:eastAsia="David" w:hAnsi="David"/>
        <w:sz w:val="16"/>
        <w:szCs w:val="16"/>
        <w:rtl/>
      </w:rPr>
      <w:t xml:space="preserve"> מתוך </w:t>
    </w:r>
    <w:r>
      <w:rPr>
        <w:rFonts w:ascii="David" w:cs="David" w:eastAsia="David" w:hAnsi="David"/>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2026-07-21T21:49:20.221Z</dcterms:created>
  <dcterms:modified xsi:type="dcterms:W3CDTF">2026-07-21T21:49:20.224Z</dcterms:modified>
</cp:coreProperties>
</file>

<file path=docProps/custom.xml><?xml version="1.0" encoding="utf-8"?>
<Properties xmlns="http://schemas.openxmlformats.org/officeDocument/2006/custom-properties" xmlns:vt="http://schemas.openxmlformats.org/officeDocument/2006/docPropsVTypes"/>
</file>